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B12F33">
        <w:rPr>
          <w:rFonts w:ascii="Palatino Linotype" w:hAnsi="Palatino Linotype" w:cs="Arial"/>
          <w:b/>
        </w:rPr>
        <w:t xml:space="preserve"> EN EL RECURSO DE REVISIÓN 03419/INFOEM/IP/RR/2018.</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CC0EC5" w:rsidRDefault="00CC0EC5" w:rsidP="00F511B5">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 xml:space="preserve">el </w:t>
      </w:r>
      <w:r w:rsidR="00B12F33" w:rsidRPr="00B12F33">
        <w:rPr>
          <w:rFonts w:ascii="Palatino Linotype" w:hAnsi="Palatino Linotype" w:cs="Arial"/>
          <w:b/>
        </w:rPr>
        <w:t>Sujeto Obligado</w:t>
      </w:r>
      <w:r w:rsidR="00B12F33" w:rsidRPr="00B12F33">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proofErr w:type="gramStart"/>
      <w:r>
        <w:rPr>
          <w:rFonts w:ascii="Palatino Linotype" w:hAnsi="Palatino Linotype" w:cs="Arial"/>
        </w:rPr>
        <w:t>no</w:t>
      </w:r>
      <w:proofErr w:type="gramEnd"/>
      <w:r>
        <w:rPr>
          <w:rFonts w:ascii="Palatino Linotype" w:hAnsi="Palatino Linotype" w:cs="Arial"/>
        </w:rPr>
        <w:t xml:space="preserve">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CC0EC5" w:rsidRDefault="00CC0EC5" w:rsidP="00EF2C52">
      <w:pPr>
        <w:jc w:val="both"/>
        <w:rPr>
          <w:rFonts w:ascii="Palatino Linotype" w:hAnsi="Palatino Linotype" w:cs="Arial"/>
        </w:rPr>
      </w:pPr>
    </w:p>
    <w:p w:rsidR="00CC0EC5" w:rsidRDefault="00CC0EC5" w:rsidP="00F511B5">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Pr="009A406D" w:rsidRDefault="00CC0EC5" w:rsidP="00EF2C52">
      <w:pPr>
        <w:jc w:val="both"/>
        <w:rPr>
          <w:rFonts w:ascii="Palatino Linotype" w:hAnsi="Palatino Linotype" w:cs="Arial"/>
        </w:rPr>
      </w:pPr>
    </w:p>
    <w:p w:rsidR="00CC0EC5" w:rsidRDefault="00CC0EC5" w:rsidP="00F511B5">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D75081" w:rsidRDefault="00D75081" w:rsidP="00F511B5">
      <w:pPr>
        <w:spacing w:line="360" w:lineRule="auto"/>
        <w:jc w:val="both"/>
        <w:rPr>
          <w:rFonts w:ascii="Palatino Linotype" w:hAnsi="Palatino Linotype" w:cs="Arial"/>
        </w:rPr>
      </w:pPr>
    </w:p>
    <w:p w:rsidR="00B12F33" w:rsidRDefault="00B12F33" w:rsidP="00F511B5">
      <w:pPr>
        <w:spacing w:line="360" w:lineRule="auto"/>
        <w:jc w:val="both"/>
        <w:rPr>
          <w:rFonts w:ascii="Palatino Linotype" w:hAnsi="Palatino Linotype" w:cs="Arial"/>
        </w:rPr>
      </w:pPr>
    </w:p>
    <w:p w:rsidR="00B12F33" w:rsidRPr="00CC0EC5" w:rsidRDefault="00B12F33"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t>ÍNDICE</w:t>
          </w:r>
        </w:p>
        <w:p w:rsidR="00F436A4" w:rsidRPr="004F719D" w:rsidRDefault="00F436A4" w:rsidP="00F511B5">
          <w:pPr>
            <w:spacing w:line="360" w:lineRule="auto"/>
            <w:rPr>
              <w:rFonts w:ascii="Palatino Linotype" w:hAnsi="Palatino Linotype"/>
              <w:b/>
              <w:lang w:val="es-ES" w:eastAsia="es-MX"/>
            </w:rPr>
          </w:pPr>
        </w:p>
        <w:p w:rsidR="00AA0270" w:rsidRDefault="00B82DF9">
          <w:pPr>
            <w:pStyle w:val="TDC1"/>
            <w:rPr>
              <w:rFonts w:asciiTheme="minorHAnsi" w:eastAsiaTheme="minorEastAsia" w:hAnsiTheme="minorHAnsi" w:cstheme="minorBidi"/>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1016143" w:history="1">
            <w:r w:rsidR="00AA0270" w:rsidRPr="00BF1D95">
              <w:rPr>
                <w:rStyle w:val="Hipervnculo"/>
                <w:rFonts w:eastAsiaTheme="majorEastAsia" w:cstheme="majorBidi"/>
                <w:b/>
                <w:noProof/>
              </w:rPr>
              <w:t>I. Consideraciones Generales</w:t>
            </w:r>
            <w:r w:rsidR="00AA0270">
              <w:rPr>
                <w:noProof/>
                <w:webHidden/>
              </w:rPr>
              <w:tab/>
            </w:r>
            <w:r w:rsidR="00AA0270">
              <w:rPr>
                <w:noProof/>
                <w:webHidden/>
              </w:rPr>
              <w:fldChar w:fldCharType="begin"/>
            </w:r>
            <w:r w:rsidR="00AA0270">
              <w:rPr>
                <w:noProof/>
                <w:webHidden/>
              </w:rPr>
              <w:instrText xml:space="preserve"> PAGEREF _Toc531016143 \h </w:instrText>
            </w:r>
            <w:r w:rsidR="00AA0270">
              <w:rPr>
                <w:noProof/>
                <w:webHidden/>
              </w:rPr>
            </w:r>
            <w:r w:rsidR="00AA0270">
              <w:rPr>
                <w:noProof/>
                <w:webHidden/>
              </w:rPr>
              <w:fldChar w:fldCharType="separate"/>
            </w:r>
            <w:r w:rsidR="00AA0270">
              <w:rPr>
                <w:noProof/>
                <w:webHidden/>
              </w:rPr>
              <w:t>2</w:t>
            </w:r>
            <w:r w:rsidR="00AA0270">
              <w:rPr>
                <w:noProof/>
                <w:webHidden/>
              </w:rPr>
              <w:fldChar w:fldCharType="end"/>
            </w:r>
          </w:hyperlink>
        </w:p>
        <w:p w:rsidR="00AA0270" w:rsidRDefault="00084589">
          <w:pPr>
            <w:pStyle w:val="TDC1"/>
            <w:rPr>
              <w:rFonts w:asciiTheme="minorHAnsi" w:eastAsiaTheme="minorEastAsia" w:hAnsiTheme="minorHAnsi" w:cstheme="minorBidi"/>
              <w:noProof/>
              <w:sz w:val="22"/>
              <w:szCs w:val="22"/>
              <w:bdr w:val="none" w:sz="0" w:space="0" w:color="auto"/>
              <w:lang w:eastAsia="es-MX"/>
            </w:rPr>
          </w:pPr>
          <w:hyperlink w:anchor="_Toc531016144" w:history="1">
            <w:r w:rsidR="00AA0270" w:rsidRPr="00BF1D95">
              <w:rPr>
                <w:rStyle w:val="Hipervnculo"/>
                <w:noProof/>
              </w:rPr>
              <w:t>II.</w:t>
            </w:r>
            <w:r w:rsidR="00AA0270">
              <w:rPr>
                <w:rFonts w:asciiTheme="minorHAnsi" w:eastAsiaTheme="minorEastAsia" w:hAnsiTheme="minorHAnsi" w:cstheme="minorBidi"/>
                <w:noProof/>
                <w:sz w:val="22"/>
                <w:szCs w:val="22"/>
                <w:bdr w:val="none" w:sz="0" w:space="0" w:color="auto"/>
                <w:lang w:eastAsia="es-MX"/>
              </w:rPr>
              <w:tab/>
            </w:r>
            <w:r w:rsidR="00AA0270" w:rsidRPr="00BF1D95">
              <w:rPr>
                <w:rStyle w:val="Hipervnculo"/>
                <w:noProof/>
              </w:rPr>
              <w:t>De los requerimientos planteados en el recurso de revisión.</w:t>
            </w:r>
            <w:r w:rsidR="00AA0270">
              <w:rPr>
                <w:noProof/>
                <w:webHidden/>
              </w:rPr>
              <w:tab/>
            </w:r>
            <w:r w:rsidR="00AA0270">
              <w:rPr>
                <w:noProof/>
                <w:webHidden/>
              </w:rPr>
              <w:fldChar w:fldCharType="begin"/>
            </w:r>
            <w:r w:rsidR="00AA0270">
              <w:rPr>
                <w:noProof/>
                <w:webHidden/>
              </w:rPr>
              <w:instrText xml:space="preserve"> PAGEREF _Toc531016144 \h </w:instrText>
            </w:r>
            <w:r w:rsidR="00AA0270">
              <w:rPr>
                <w:noProof/>
                <w:webHidden/>
              </w:rPr>
            </w:r>
            <w:r w:rsidR="00AA0270">
              <w:rPr>
                <w:noProof/>
                <w:webHidden/>
              </w:rPr>
              <w:fldChar w:fldCharType="separate"/>
            </w:r>
            <w:r w:rsidR="00AA0270">
              <w:rPr>
                <w:noProof/>
                <w:webHidden/>
              </w:rPr>
              <w:t>3</w:t>
            </w:r>
            <w:r w:rsidR="00AA0270">
              <w:rPr>
                <w:noProof/>
                <w:webHidden/>
              </w:rPr>
              <w:fldChar w:fldCharType="end"/>
            </w:r>
          </w:hyperlink>
        </w:p>
        <w:p w:rsidR="00AA0270" w:rsidRDefault="00084589">
          <w:pPr>
            <w:pStyle w:val="TDC1"/>
            <w:rPr>
              <w:rFonts w:asciiTheme="minorHAnsi" w:eastAsiaTheme="minorEastAsia" w:hAnsiTheme="minorHAnsi" w:cstheme="minorBidi"/>
              <w:noProof/>
              <w:sz w:val="22"/>
              <w:szCs w:val="22"/>
              <w:bdr w:val="none" w:sz="0" w:space="0" w:color="auto"/>
              <w:lang w:eastAsia="es-MX"/>
            </w:rPr>
          </w:pPr>
          <w:hyperlink w:anchor="_Toc531016145" w:history="1">
            <w:r w:rsidR="00AA0270" w:rsidRPr="00BF1D95">
              <w:rPr>
                <w:rStyle w:val="Hipervnculo"/>
                <w:noProof/>
              </w:rPr>
              <w:t>III.</w:t>
            </w:r>
            <w:r w:rsidR="00AA0270">
              <w:rPr>
                <w:rFonts w:asciiTheme="minorHAnsi" w:eastAsiaTheme="minorEastAsia" w:hAnsiTheme="minorHAnsi" w:cstheme="minorBidi"/>
                <w:noProof/>
                <w:sz w:val="22"/>
                <w:szCs w:val="22"/>
                <w:bdr w:val="none" w:sz="0" w:space="0" w:color="auto"/>
                <w:lang w:eastAsia="es-MX"/>
              </w:rPr>
              <w:tab/>
            </w:r>
            <w:r w:rsidR="00AA0270" w:rsidRPr="00BF1D95">
              <w:rPr>
                <w:rStyle w:val="Hipervnculo"/>
                <w:noProof/>
              </w:rPr>
              <w:t>De la Clasificación de la Información como Reservada.</w:t>
            </w:r>
            <w:r w:rsidR="00AA0270">
              <w:rPr>
                <w:noProof/>
                <w:webHidden/>
              </w:rPr>
              <w:tab/>
            </w:r>
            <w:r w:rsidR="00AA0270">
              <w:rPr>
                <w:noProof/>
                <w:webHidden/>
              </w:rPr>
              <w:fldChar w:fldCharType="begin"/>
            </w:r>
            <w:r w:rsidR="00AA0270">
              <w:rPr>
                <w:noProof/>
                <w:webHidden/>
              </w:rPr>
              <w:instrText xml:space="preserve"> PAGEREF _Toc531016145 \h </w:instrText>
            </w:r>
            <w:r w:rsidR="00AA0270">
              <w:rPr>
                <w:noProof/>
                <w:webHidden/>
              </w:rPr>
            </w:r>
            <w:r w:rsidR="00AA0270">
              <w:rPr>
                <w:noProof/>
                <w:webHidden/>
              </w:rPr>
              <w:fldChar w:fldCharType="separate"/>
            </w:r>
            <w:r w:rsidR="00AA0270">
              <w:rPr>
                <w:noProof/>
                <w:webHidden/>
              </w:rPr>
              <w:t>9</w:t>
            </w:r>
            <w:r w:rsidR="00AA0270">
              <w:rPr>
                <w:noProof/>
                <w:webHidden/>
              </w:rPr>
              <w:fldChar w:fldCharType="end"/>
            </w:r>
          </w:hyperlink>
        </w:p>
        <w:p w:rsidR="00A3395D" w:rsidRPr="004F719D" w:rsidRDefault="00B82DF9" w:rsidP="00AA0270">
          <w:pPr>
            <w:spacing w:line="360" w:lineRule="auto"/>
            <w:rPr>
              <w:rFonts w:ascii="Palatino Linotype" w:hAnsi="Palatino Linotype"/>
              <w:b/>
              <w:bCs/>
              <w:color w:val="000000" w:themeColor="text1"/>
            </w:rPr>
          </w:pPr>
          <w:r w:rsidRPr="00075028">
            <w:rPr>
              <w:rFonts w:ascii="Palatino Linotype" w:hAnsi="Palatino Linotype"/>
              <w:b/>
              <w:bCs/>
              <w:color w:val="000000" w:themeColor="text1"/>
            </w:rPr>
            <w:fldChar w:fldCharType="end"/>
          </w: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31016143"/>
      <w:r w:rsidRPr="004F719D">
        <w:rPr>
          <w:rFonts w:ascii="Palatino Linotype" w:eastAsiaTheme="majorEastAsia" w:hAnsi="Palatino Linotype" w:cstheme="majorBidi"/>
          <w:b/>
        </w:rPr>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B12F33">
        <w:rPr>
          <w:rFonts w:ascii="Palatino Linotype" w:hAnsi="Palatino Linotype" w:cs="Arial"/>
        </w:rPr>
        <w:t xml:space="preserve"> Tercera Sesión Ordinaria de fecha veintidós</w:t>
      </w:r>
      <w:r w:rsidR="00CC0EC5" w:rsidRPr="00F95E27">
        <w:rPr>
          <w:rFonts w:ascii="Palatino Linotype" w:hAnsi="Palatino Linotype" w:cs="Arial"/>
        </w:rPr>
        <w:t xml:space="preserve"> </w:t>
      </w:r>
      <w:r w:rsidR="00B12F33">
        <w:rPr>
          <w:rFonts w:ascii="Palatino Linotype" w:hAnsi="Palatino Linotype" w:cs="Arial"/>
        </w:rPr>
        <w:t>(22</w:t>
      </w:r>
      <w:r w:rsidR="00B1415F" w:rsidRPr="00F95E27">
        <w:rPr>
          <w:rFonts w:ascii="Palatino Linotype" w:hAnsi="Palatino Linotype" w:cs="Arial"/>
        </w:rPr>
        <w:t>) de</w:t>
      </w:r>
      <w:r w:rsidR="00B12F33">
        <w:rPr>
          <w:rFonts w:ascii="Palatino Linotype" w:hAnsi="Palatino Linotype" w:cs="Arial"/>
        </w:rPr>
        <w:t xml:space="preserve"> noviembre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4E6276" w:rsidRPr="004E6276">
        <w:rPr>
          <w:rFonts w:ascii="Palatino Linotype" w:hAnsi="Palatino Linotype" w:cs="Arial"/>
          <w:b/>
          <w:highlight w:val="black"/>
        </w:rPr>
        <w:t>------------------------</w:t>
      </w:r>
      <w:r w:rsidR="00CC0EC5" w:rsidRPr="00924DF4">
        <w:rPr>
          <w:rFonts w:ascii="Palatino Linotype" w:hAnsi="Palatino Linotype" w:cs="Arial"/>
        </w:rPr>
        <w:t>,</w:t>
      </w:r>
      <w:r w:rsidR="00CC0EC5" w:rsidRPr="00924DF4">
        <w:rPr>
          <w:rFonts w:ascii="Palatino Linotype" w:hAnsi="Palatino Linotype" w:cs="Arial"/>
          <w:b/>
        </w:rPr>
        <w:t xml:space="preserve"> </w:t>
      </w:r>
      <w:r w:rsidR="00B12F33">
        <w:rPr>
          <w:rFonts w:ascii="Palatino Linotype" w:hAnsi="Palatino Linotype" w:cs="Arial"/>
        </w:rPr>
        <w:t xml:space="preserve">en contra de las respuesta de la </w:t>
      </w:r>
      <w:r w:rsidR="00B12F33">
        <w:rPr>
          <w:rFonts w:ascii="Palatino Linotype" w:hAnsi="Palatino Linotype" w:cs="Arial"/>
          <w:b/>
        </w:rPr>
        <w:t>Secretaría de la Contraloría</w:t>
      </w:r>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B12F33">
        <w:rPr>
          <w:rFonts w:ascii="Palatino Linotype" w:eastAsia="Times New Roman" w:hAnsi="Palatino Linotype" w:cs="Arial"/>
          <w:bCs/>
          <w:lang w:eastAsia="es-ES"/>
        </w:rPr>
        <w:t>al rubro señalado</w:t>
      </w:r>
      <w:r w:rsidR="00366D22">
        <w:rPr>
          <w:rFonts w:ascii="Palatino Linotype" w:eastAsia="Times New Roman" w:hAnsi="Palatino Linotype" w:cs="Arial"/>
          <w:bCs/>
          <w:lang w:eastAsia="es-ES"/>
        </w:rPr>
        <w:t xml:space="preserve">.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B12F33">
        <w:rPr>
          <w:rFonts w:ascii="Palatino Linotype" w:hAnsi="Palatino Linotype" w:cs="Arial"/>
        </w:rPr>
        <w:t xml:space="preserve">parcialmente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B12F33">
        <w:rPr>
          <w:rFonts w:ascii="Palatino Linotype" w:hAnsi="Palatino Linotype" w:cs="Arial"/>
          <w:b/>
        </w:rPr>
        <w:t>CUARTO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 </w:t>
      </w:r>
      <w:r w:rsidR="00374684">
        <w:rPr>
          <w:rFonts w:ascii="Palatino Linotype" w:hAnsi="Palatino Linotype" w:cs="Arial"/>
          <w:b/>
        </w:rPr>
        <w:t>MODIFICAR</w:t>
      </w:r>
      <w:r w:rsidRPr="00A6390E">
        <w:rPr>
          <w:rFonts w:ascii="Palatino Linotype" w:hAnsi="Palatino Linotype" w:cs="Arial"/>
          <w:b/>
        </w:rPr>
        <w:t xml:space="preserve"> </w:t>
      </w:r>
      <w:r w:rsidRPr="00924DF4">
        <w:rPr>
          <w:rFonts w:ascii="Palatino Linotype" w:hAnsi="Palatino Linotype" w:cs="Arial"/>
        </w:rPr>
        <w:t xml:space="preserve">la respuesta del Sujeto Obligado, </w:t>
      </w:r>
      <w:r w:rsidR="00366D22">
        <w:rPr>
          <w:rFonts w:ascii="Palatino Linotype" w:hAnsi="Palatino Linotype" w:cs="Arial"/>
        </w:rPr>
        <w:t xml:space="preserve">por lo que se ordena realizar entrega de la información que se precisa en el resolutivo segundo de la resolución de mérito, asimismo se refiere que </w:t>
      </w:r>
      <w:r w:rsidR="00F95E27">
        <w:rPr>
          <w:rFonts w:ascii="Palatino Linotype" w:hAnsi="Palatino Linotype" w:cs="Arial"/>
        </w:rPr>
        <w:t>respecto a la</w:t>
      </w:r>
      <w:r w:rsidR="002E6CE2">
        <w:rPr>
          <w:rFonts w:ascii="Palatino Linotype" w:hAnsi="Palatino Linotype" w:cs="Arial"/>
        </w:rPr>
        <w:t xml:space="preserve"> </w:t>
      </w:r>
      <w:r w:rsidR="002E6CE2">
        <w:rPr>
          <w:rFonts w:ascii="Palatino Linotype" w:hAnsi="Palatino Linotype" w:cs="Arial"/>
        </w:rPr>
        <w:lastRenderedPageBreak/>
        <w:t xml:space="preserve">información que corresponde a los incisos b y c, </w:t>
      </w:r>
      <w:r w:rsidR="00F95E27">
        <w:rPr>
          <w:rFonts w:ascii="Palatino Linotype" w:hAnsi="Palatino Linotype" w:cs="Arial"/>
        </w:rPr>
        <w:t>la cual</w:t>
      </w:r>
      <w:r w:rsidR="002E6CE2">
        <w:rPr>
          <w:rFonts w:ascii="Palatino Linotype" w:hAnsi="Palatino Linotype" w:cs="Arial"/>
        </w:rPr>
        <w:t xml:space="preserve"> podría ser </w:t>
      </w:r>
      <w:r w:rsidR="00F95E27">
        <w:rPr>
          <w:rFonts w:ascii="Palatino Linotype" w:hAnsi="Palatino Linotype" w:cs="Arial"/>
        </w:rPr>
        <w:t>motivo de reserva, se deberá de emitir el acuerdo de clasificación en el cual funde y motive las causas por las que ha sido reservada</w:t>
      </w:r>
      <w:r w:rsidR="00366D22" w:rsidRPr="00F95E27">
        <w:rPr>
          <w:rFonts w:ascii="Palatino Linotype" w:hAnsi="Palatino Linotype" w:cs="Arial"/>
        </w:rPr>
        <w:t xml:space="preserve">.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374684">
      <w:pPr>
        <w:pStyle w:val="Ttulo1"/>
      </w:pPr>
      <w:bookmarkStart w:id="2" w:name="_Toc473810012"/>
      <w:bookmarkStart w:id="3" w:name="_Toc531016144"/>
      <w:bookmarkStart w:id="4" w:name="_Toc472594392"/>
      <w:bookmarkStart w:id="5" w:name="_Toc485911590"/>
      <w:r w:rsidRPr="004F719D">
        <w:t>De los requerimientos planteados en el recurso de revisión.</w:t>
      </w:r>
      <w:bookmarkEnd w:id="2"/>
      <w:bookmarkEnd w:id="3"/>
    </w:p>
    <w:p w:rsidR="00A410B3" w:rsidRPr="004F719D" w:rsidRDefault="00A410B3" w:rsidP="00EF2C52">
      <w:pPr>
        <w:pStyle w:val="Prrafodelista"/>
        <w:ind w:left="1080"/>
        <w:jc w:val="both"/>
        <w:rPr>
          <w:rFonts w:ascii="Palatino Linotype" w:hAnsi="Palatino Linotype" w:cs="Arial"/>
          <w:b/>
        </w:rPr>
      </w:pPr>
    </w:p>
    <w:p w:rsidR="002E6CE2" w:rsidRDefault="00CC0EC5"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sidR="002E6CE2">
        <w:rPr>
          <w:rFonts w:ascii="Palatino Linotype" w:hAnsi="Palatino Linotype" w:cs="Arial"/>
        </w:rPr>
        <w:t xml:space="preserve"> la </w:t>
      </w:r>
      <w:r w:rsidR="002E6CE2">
        <w:rPr>
          <w:rFonts w:ascii="Palatino Linotype" w:hAnsi="Palatino Linotype" w:cs="Arial"/>
          <w:b/>
        </w:rPr>
        <w:t xml:space="preserve">Secretaría de la Contraloría </w:t>
      </w:r>
      <w:r w:rsidRPr="00924DF4">
        <w:rPr>
          <w:rFonts w:ascii="Palatino Linotype" w:hAnsi="Palatino Linotype" w:cs="Arial"/>
        </w:rPr>
        <w:t xml:space="preserve">lo siguiente: </w:t>
      </w:r>
    </w:p>
    <w:p w:rsidR="002E6CE2" w:rsidRPr="002E6CE2" w:rsidRDefault="002E6CE2" w:rsidP="002E6CE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2E6CE2" w:rsidRDefault="002E6CE2" w:rsidP="002E6CE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2E6CE2">
        <w:rPr>
          <w:rFonts w:ascii="Palatino Linotype" w:eastAsia="Times New Roman" w:hAnsi="Palatino Linotype"/>
          <w:i/>
          <w:lang w:val="es-ES_tradnl" w:eastAsia="es-ES"/>
        </w:rPr>
        <w:t xml:space="preserve">“copia del nombramiento como contralor actual y de su anterior cargo en el EDO también en </w:t>
      </w:r>
      <w:proofErr w:type="spellStart"/>
      <w:r w:rsidRPr="002E6CE2">
        <w:rPr>
          <w:rFonts w:ascii="Palatino Linotype" w:eastAsia="Times New Roman" w:hAnsi="Palatino Linotype"/>
          <w:i/>
          <w:lang w:val="es-ES_tradnl" w:eastAsia="es-ES"/>
        </w:rPr>
        <w:t>contraloria</w:t>
      </w:r>
      <w:proofErr w:type="spellEnd"/>
      <w:r w:rsidRPr="002E6CE2">
        <w:rPr>
          <w:rFonts w:ascii="Palatino Linotype" w:eastAsia="Times New Roman" w:hAnsi="Palatino Linotype"/>
          <w:i/>
          <w:lang w:val="es-ES_tradnl" w:eastAsia="es-ES"/>
        </w:rPr>
        <w:t xml:space="preserve"> de Oscar Vilchis Gonzales / copia de su acta de entrega anterior y de todos los asuntos que manejó con </w:t>
      </w:r>
      <w:proofErr w:type="spellStart"/>
      <w:r w:rsidRPr="002E6CE2">
        <w:rPr>
          <w:rFonts w:ascii="Palatino Linotype" w:eastAsia="Times New Roman" w:hAnsi="Palatino Linotype"/>
          <w:i/>
          <w:lang w:val="es-ES_tradnl" w:eastAsia="es-ES"/>
        </w:rPr>
        <w:t>maxima</w:t>
      </w:r>
      <w:proofErr w:type="spellEnd"/>
      <w:r w:rsidRPr="002E6CE2">
        <w:rPr>
          <w:rFonts w:ascii="Palatino Linotype" w:eastAsia="Times New Roman" w:hAnsi="Palatino Linotype"/>
          <w:i/>
          <w:lang w:val="es-ES_tradnl" w:eastAsia="es-ES"/>
        </w:rPr>
        <w:t xml:space="preserve"> publicidad, entregar resultados concretos de todas las denuncias, auditorias, asuntos que recibió de la ASF y auditoria superior del EDO o procuradurías estatales del EDO o PGR ( por numero consecutivo y por fecha cada expediente / y lo mismo para todas sus actuaciones en GACM </w:t>
      </w:r>
      <w:proofErr w:type="spellStart"/>
      <w:r w:rsidRPr="002E6CE2">
        <w:rPr>
          <w:rFonts w:ascii="Palatino Linotype" w:eastAsia="Times New Roman" w:hAnsi="Palatino Linotype"/>
          <w:i/>
          <w:lang w:val="es-ES_tradnl" w:eastAsia="es-ES"/>
        </w:rPr>
        <w:t>asi</w:t>
      </w:r>
      <w:proofErr w:type="spellEnd"/>
      <w:r w:rsidRPr="002E6CE2">
        <w:rPr>
          <w:rFonts w:ascii="Palatino Linotype" w:eastAsia="Times New Roman" w:hAnsi="Palatino Linotype"/>
          <w:i/>
          <w:lang w:val="es-ES_tradnl" w:eastAsia="es-ES"/>
        </w:rPr>
        <w:t xml:space="preserve"> como la investigación que hace PGR en contra de este ./ resultados concretos en sus actuaciones como contralor en el EDO en GACM y a la fecha en su nuevo nombramiento” (Sic)</w:t>
      </w:r>
    </w:p>
    <w:p w:rsidR="002E6CE2" w:rsidRDefault="002E6CE2" w:rsidP="002E6CE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CC3A72" w:rsidRPr="00CC3A72" w:rsidRDefault="00CC3A72"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Pr>
          <w:rFonts w:ascii="Palatino Linotype" w:eastAsia="Times New Roman" w:hAnsi="Palatino Linotype"/>
          <w:lang w:val="es-ES_tradnl" w:eastAsia="es-ES"/>
        </w:rPr>
        <w:lastRenderedPageBreak/>
        <w:t>El veintitrés</w:t>
      </w:r>
      <w:r w:rsidR="00175C22">
        <w:rPr>
          <w:rFonts w:ascii="Palatino Linotype" w:eastAsia="Times New Roman" w:hAnsi="Palatino Linotype"/>
          <w:lang w:val="es-ES_tradnl" w:eastAsia="es-ES"/>
        </w:rPr>
        <w:t xml:space="preserve"> </w:t>
      </w:r>
      <w:r>
        <w:rPr>
          <w:rFonts w:ascii="Palatino Linotype" w:eastAsia="Times New Roman" w:hAnsi="Palatino Linotype"/>
          <w:lang w:val="es-ES_tradnl" w:eastAsia="es-ES"/>
        </w:rPr>
        <w:t xml:space="preserve">de agosto de dos mil dieciocho, el </w:t>
      </w:r>
      <w:r>
        <w:rPr>
          <w:rFonts w:ascii="Palatino Linotype" w:eastAsia="Times New Roman" w:hAnsi="Palatino Linotype"/>
          <w:b/>
          <w:lang w:val="es-ES_tradnl" w:eastAsia="es-ES"/>
        </w:rPr>
        <w:t>SUJETO OBLOIGADO</w:t>
      </w:r>
      <w:r w:rsidR="00175C22">
        <w:rPr>
          <w:rFonts w:ascii="Palatino Linotype" w:eastAsia="Times New Roman" w:hAnsi="Palatino Linotype"/>
          <w:b/>
          <w:lang w:val="es-ES_tradnl" w:eastAsia="es-ES"/>
        </w:rPr>
        <w:t xml:space="preserve"> </w:t>
      </w:r>
      <w:r w:rsidR="00175C22">
        <w:rPr>
          <w:rFonts w:ascii="Palatino Linotype" w:eastAsia="Times New Roman" w:hAnsi="Palatino Linotype"/>
          <w:lang w:val="es-ES_tradnl" w:eastAsia="es-ES"/>
        </w:rPr>
        <w:t xml:space="preserve">mediante el siguiente escrito </w:t>
      </w:r>
      <w:r>
        <w:rPr>
          <w:rFonts w:ascii="Palatino Linotype" w:eastAsia="Times New Roman" w:hAnsi="Palatino Linotype"/>
          <w:lang w:val="es-ES_tradnl" w:eastAsia="es-ES"/>
        </w:rPr>
        <w:t>requirió</w:t>
      </w:r>
      <w:r w:rsidR="00175C22">
        <w:rPr>
          <w:rFonts w:ascii="Palatino Linotype" w:eastAsia="Times New Roman" w:hAnsi="Palatino Linotype"/>
          <w:lang w:val="es-ES_tradnl" w:eastAsia="es-ES"/>
        </w:rPr>
        <w:t xml:space="preserve"> </w:t>
      </w:r>
      <w:r>
        <w:rPr>
          <w:rFonts w:ascii="Palatino Linotype" w:eastAsia="Times New Roman" w:hAnsi="Palatino Linotype"/>
          <w:lang w:val="es-ES_tradnl" w:eastAsia="es-ES"/>
        </w:rPr>
        <w:t xml:space="preserve">al </w:t>
      </w:r>
      <w:r>
        <w:rPr>
          <w:rFonts w:ascii="Palatino Linotype" w:eastAsia="Times New Roman" w:hAnsi="Palatino Linotype"/>
          <w:b/>
          <w:lang w:val="es-ES_tradnl" w:eastAsia="es-ES"/>
        </w:rPr>
        <w:t xml:space="preserve">RECURRENTE </w:t>
      </w:r>
      <w:r>
        <w:rPr>
          <w:rFonts w:ascii="Palatino Linotype" w:eastAsia="Times New Roman" w:hAnsi="Palatino Linotype"/>
          <w:lang w:val="es-ES_tradnl" w:eastAsia="es-ES"/>
        </w:rPr>
        <w:t>la aclaración de la solicitud de informaci</w:t>
      </w:r>
      <w:r w:rsidR="00175C22">
        <w:rPr>
          <w:rFonts w:ascii="Palatino Linotype" w:eastAsia="Times New Roman" w:hAnsi="Palatino Linotype"/>
          <w:lang w:val="es-ES_tradnl" w:eastAsia="es-ES"/>
        </w:rPr>
        <w:t xml:space="preserve">ón: </w:t>
      </w:r>
    </w:p>
    <w:p w:rsidR="00175C22" w:rsidRPr="00175C22" w:rsidRDefault="00175C22" w:rsidP="00175C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rPr>
          <w:rFonts w:ascii="Palatino Linotype" w:eastAsia="Times New Roman" w:hAnsi="Palatino Linotype"/>
          <w:i/>
          <w:lang w:val="es-ES_tradnl" w:eastAsia="es-ES"/>
        </w:rPr>
      </w:pP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right"/>
        <w:rPr>
          <w:rFonts w:ascii="Palatino Linotype" w:eastAsia="Times New Roman" w:hAnsi="Palatino Linotype"/>
          <w:i/>
          <w:lang w:val="es-ES_tradnl" w:eastAsia="es-ES"/>
        </w:rPr>
      </w:pPr>
      <w:r>
        <w:rPr>
          <w:rFonts w:ascii="Palatino Linotype" w:eastAsia="Times New Roman" w:hAnsi="Palatino Linotype"/>
          <w:i/>
          <w:lang w:val="es-ES_tradnl" w:eastAsia="es-ES"/>
        </w:rPr>
        <w:t>“</w:t>
      </w:r>
      <w:r w:rsidRPr="00175C22">
        <w:rPr>
          <w:rFonts w:ascii="Palatino Linotype" w:eastAsia="Times New Roman" w:hAnsi="Palatino Linotype"/>
          <w:i/>
          <w:lang w:val="es-ES_tradnl" w:eastAsia="es-ES"/>
        </w:rPr>
        <w:t>Metepec, México a 23 de Agosto de 2018</w:t>
      </w: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right"/>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 xml:space="preserve">Nombre del solicitante: </w:t>
      </w:r>
      <w:r w:rsidR="004E6276" w:rsidRPr="004E6276">
        <w:rPr>
          <w:rFonts w:ascii="Palatino Linotype" w:eastAsia="Times New Roman" w:hAnsi="Palatino Linotype"/>
          <w:i/>
          <w:highlight w:val="black"/>
          <w:lang w:val="es-ES_tradnl" w:eastAsia="es-ES"/>
        </w:rPr>
        <w:t>---------------------------------------</w:t>
      </w: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right"/>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Folio de la solicitud: 00138/SECOGEM/IP/2018</w:t>
      </w: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 xml:space="preserve">Con fundamento en el </w:t>
      </w:r>
      <w:proofErr w:type="spellStart"/>
      <w:proofErr w:type="gramStart"/>
      <w:r w:rsidRPr="00175C22">
        <w:rPr>
          <w:rFonts w:ascii="Palatino Linotype" w:eastAsia="Times New Roman" w:hAnsi="Palatino Linotype"/>
          <w:i/>
          <w:lang w:val="es-ES_tradnl" w:eastAsia="es-ES"/>
        </w:rPr>
        <w:t>articulo</w:t>
      </w:r>
      <w:proofErr w:type="spellEnd"/>
      <w:proofErr w:type="gramEnd"/>
      <w:r w:rsidRPr="00175C22">
        <w:rPr>
          <w:rFonts w:ascii="Palatino Linotype" w:eastAsia="Times New Roman" w:hAnsi="Palatino Linotype"/>
          <w:i/>
          <w:lang w:val="es-ES_tradnl" w:eastAsia="es-ES"/>
        </w:rPr>
        <w:t xml:space="preserve"> 159 de la Ley de Transparencia y Acceso a la Información Pública del Estado de México y Municipios, se le requiere para que dentro del plazo de diez días hábiles realice lo siguiente:</w:t>
      </w: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 xml:space="preserve">Se adjunta oficio y acuerdo de </w:t>
      </w:r>
      <w:proofErr w:type="spellStart"/>
      <w:r w:rsidRPr="00175C22">
        <w:rPr>
          <w:rFonts w:ascii="Palatino Linotype" w:eastAsia="Times New Roman" w:hAnsi="Palatino Linotype"/>
          <w:i/>
          <w:lang w:val="es-ES_tradnl" w:eastAsia="es-ES"/>
        </w:rPr>
        <w:t>solciitud</w:t>
      </w:r>
      <w:proofErr w:type="spellEnd"/>
      <w:r w:rsidRPr="00175C22">
        <w:rPr>
          <w:rFonts w:ascii="Palatino Linotype" w:eastAsia="Times New Roman" w:hAnsi="Palatino Linotype"/>
          <w:i/>
          <w:lang w:val="es-ES_tradnl" w:eastAsia="es-ES"/>
        </w:rPr>
        <w:t xml:space="preserve"> de aclaración.</w:t>
      </w:r>
    </w:p>
    <w:p w:rsid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p>
    <w:p w:rsidR="00175C22" w:rsidRPr="00175C2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ATENTAMENTE</w:t>
      </w:r>
    </w:p>
    <w:p w:rsidR="00CC3A72" w:rsidRDefault="00175C22" w:rsidP="004E2F1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175C22">
        <w:rPr>
          <w:rFonts w:ascii="Palatino Linotype" w:eastAsia="Times New Roman" w:hAnsi="Palatino Linotype"/>
          <w:i/>
          <w:lang w:val="es-ES_tradnl" w:eastAsia="es-ES"/>
        </w:rPr>
        <w:t>LIC. JORGE BERNÁLDEZ AGUILAR</w:t>
      </w:r>
      <w:r>
        <w:rPr>
          <w:rFonts w:ascii="Palatino Linotype" w:eastAsia="Times New Roman" w:hAnsi="Palatino Linotype"/>
          <w:i/>
          <w:lang w:val="es-ES_tradnl" w:eastAsia="es-ES"/>
        </w:rPr>
        <w:t>” (Sic)</w:t>
      </w:r>
    </w:p>
    <w:p w:rsidR="00175C22" w:rsidRPr="00CC3A72" w:rsidRDefault="00175C22" w:rsidP="00175C2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i/>
          <w:lang w:val="es-ES_tradnl" w:eastAsia="es-ES"/>
        </w:rPr>
      </w:pPr>
    </w:p>
    <w:p w:rsidR="00175C22" w:rsidRPr="00175C22" w:rsidRDefault="00175C22"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Pr>
          <w:rFonts w:ascii="Palatino Linotype" w:eastAsia="Times New Roman" w:hAnsi="Palatino Linotype"/>
          <w:lang w:val="es-ES_tradnl" w:eastAsia="es-ES"/>
        </w:rPr>
        <w:t xml:space="preserve">A dicha solicitud de aclaración el </w:t>
      </w:r>
      <w:r>
        <w:rPr>
          <w:rFonts w:ascii="Palatino Linotype" w:eastAsia="Times New Roman" w:hAnsi="Palatino Linotype"/>
          <w:b/>
          <w:lang w:val="es-ES_tradnl" w:eastAsia="es-ES"/>
        </w:rPr>
        <w:t>SUJETO OBLIGADO</w:t>
      </w:r>
      <w:r>
        <w:rPr>
          <w:rFonts w:ascii="Palatino Linotype" w:eastAsia="Times New Roman" w:hAnsi="Palatino Linotype"/>
          <w:lang w:val="es-ES_tradnl" w:eastAsia="es-ES"/>
        </w:rPr>
        <w:t xml:space="preserve"> anexó dos documentos a saber: </w:t>
      </w:r>
    </w:p>
    <w:p w:rsidR="00175C22" w:rsidRPr="00175C22" w:rsidRDefault="00175C22" w:rsidP="00175C2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B14637" w:rsidRPr="00B14637" w:rsidRDefault="00175C22" w:rsidP="00C520EE">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i/>
          <w:lang w:val="es-ES_tradnl" w:eastAsia="es-ES"/>
        </w:rPr>
      </w:pPr>
      <w:r>
        <w:rPr>
          <w:rFonts w:ascii="Palatino Linotype" w:eastAsia="Times New Roman" w:hAnsi="Palatino Linotype"/>
          <w:b/>
          <w:i/>
          <w:lang w:val="es-ES_tradnl" w:eastAsia="es-ES"/>
        </w:rPr>
        <w:lastRenderedPageBreak/>
        <w:t>ACUERDO DE ACLARACIÓN.PDF</w:t>
      </w:r>
      <w:r w:rsidR="00B14637">
        <w:rPr>
          <w:rFonts w:ascii="Palatino Linotype" w:eastAsia="Times New Roman" w:hAnsi="Palatino Linotype"/>
          <w:i/>
          <w:lang w:val="es-ES_tradnl" w:eastAsia="es-ES"/>
        </w:rPr>
        <w:t xml:space="preserve">: </w:t>
      </w:r>
      <w:r w:rsidR="00B14637" w:rsidRPr="00B14637">
        <w:rPr>
          <w:rFonts w:ascii="Palatino Linotype" w:eastAsia="Times New Roman" w:hAnsi="Palatino Linotype"/>
          <w:lang w:val="es-ES_tradnl" w:eastAsia="es-ES"/>
        </w:rPr>
        <w:t>Documento</w:t>
      </w:r>
      <w:r w:rsidR="00B14637">
        <w:rPr>
          <w:rFonts w:ascii="Palatino Linotype" w:eastAsia="Times New Roman" w:hAnsi="Palatino Linotype"/>
          <w:lang w:val="es-ES_tradnl" w:eastAsia="es-ES"/>
        </w:rPr>
        <w:t xml:space="preserve"> electrónico que en dos (02) hojas contiene un acuerdo de fecha veintitrés de agosto de dos mil dieciocho, signado por el responsable de la unidad de transparencia, mediante el cual medularmente se refiere </w:t>
      </w:r>
      <w:r w:rsidR="00B14637" w:rsidRPr="00B14637">
        <w:rPr>
          <w:rFonts w:ascii="Palatino Linotype" w:eastAsia="Times New Roman" w:hAnsi="Palatino Linotype"/>
          <w:i/>
          <w:lang w:val="es-ES_tradnl" w:eastAsia="es-ES"/>
        </w:rPr>
        <w:t>“…IV. Por lo anterior, con la finalidad de estar en posibilidades de entregar la información en tiempo y forma, se solicita al C. “</w:t>
      </w:r>
      <w:r w:rsidR="004E6276" w:rsidRPr="004E6276">
        <w:rPr>
          <w:rFonts w:ascii="Palatino Linotype" w:eastAsia="Times New Roman" w:hAnsi="Palatino Linotype"/>
          <w:i/>
          <w:highlight w:val="black"/>
          <w:lang w:val="es-ES_tradnl" w:eastAsia="es-ES"/>
        </w:rPr>
        <w:t>--------------------------</w:t>
      </w:r>
      <w:r w:rsidR="00B14637" w:rsidRPr="00B14637">
        <w:rPr>
          <w:rFonts w:ascii="Palatino Linotype" w:eastAsia="Times New Roman" w:hAnsi="Palatino Linotype"/>
          <w:i/>
          <w:lang w:val="es-ES_tradnl" w:eastAsia="es-ES"/>
        </w:rPr>
        <w:t xml:space="preserve">” que explique a que se refiere al mencionar “…todos los asuntos que manejó con </w:t>
      </w:r>
      <w:proofErr w:type="spellStart"/>
      <w:r w:rsidR="00B14637" w:rsidRPr="00B14637">
        <w:rPr>
          <w:rFonts w:ascii="Palatino Linotype" w:eastAsia="Times New Roman" w:hAnsi="Palatino Linotype"/>
          <w:i/>
          <w:lang w:val="es-ES_tradnl" w:eastAsia="es-ES"/>
        </w:rPr>
        <w:t>maxima</w:t>
      </w:r>
      <w:proofErr w:type="spellEnd"/>
      <w:r w:rsidR="00B14637" w:rsidRPr="00B14637">
        <w:rPr>
          <w:rFonts w:ascii="Palatino Linotype" w:eastAsia="Times New Roman" w:hAnsi="Palatino Linotype"/>
          <w:i/>
          <w:lang w:val="es-ES_tradnl" w:eastAsia="es-ES"/>
        </w:rPr>
        <w:t xml:space="preserve"> publicidad…” (sic) así como que especifique a que se refiere cuando menciona “…GACM…” </w:t>
      </w:r>
      <w:proofErr w:type="gramStart"/>
      <w:r w:rsidR="00B14637" w:rsidRPr="00B14637">
        <w:rPr>
          <w:rFonts w:ascii="Palatino Linotype" w:eastAsia="Times New Roman" w:hAnsi="Palatino Linotype"/>
          <w:i/>
          <w:lang w:val="es-ES_tradnl" w:eastAsia="es-ES"/>
        </w:rPr>
        <w:t>( sic</w:t>
      </w:r>
      <w:proofErr w:type="gramEnd"/>
      <w:r w:rsidR="00B14637" w:rsidRPr="00B14637">
        <w:rPr>
          <w:rFonts w:ascii="Palatino Linotype" w:eastAsia="Times New Roman" w:hAnsi="Palatino Linotype"/>
          <w:i/>
          <w:lang w:val="es-ES_tradnl" w:eastAsia="es-ES"/>
        </w:rPr>
        <w:t>). Lo anterior se requiere a efecto de estar en condiciones de atender su solicitud. V. Por lo anterior, y conforme al artículo 159 de la Ley de Transparencia y Acceso a la Información Pública del Estado de México y Municipios; se solicita al peticionario que aclare la información que desea conocer, ya que los detalles proporcionados, resultan insuficientes o incompletos…, VI. Asimismo se hace de su conocimiento que la solicitud se tendrá por no presentada cuando al C. “</w:t>
      </w:r>
      <w:r w:rsidR="004E6276" w:rsidRPr="004E6276">
        <w:rPr>
          <w:rFonts w:ascii="Palatino Linotype" w:eastAsia="Times New Roman" w:hAnsi="Palatino Linotype"/>
          <w:i/>
          <w:highlight w:val="black"/>
          <w:lang w:val="es-ES_tradnl" w:eastAsia="es-ES"/>
        </w:rPr>
        <w:t>----------------------</w:t>
      </w:r>
      <w:r w:rsidR="00B14637" w:rsidRPr="00B14637">
        <w:rPr>
          <w:rFonts w:ascii="Palatino Linotype" w:eastAsia="Times New Roman" w:hAnsi="Palatino Linotype"/>
          <w:i/>
          <w:lang w:val="es-ES_tradnl" w:eastAsia="es-ES"/>
        </w:rPr>
        <w:t>” no atiendan el presente requerimiento de información adicional, salvo que en la solicitud inicial se aprecien elementos que permitan identificar la información requerida, quedando salvo los derechos del particular para volver a presentar su solicitud…” (Sic)</w:t>
      </w:r>
    </w:p>
    <w:p w:rsidR="00B14637" w:rsidRPr="00B14637" w:rsidRDefault="00B14637" w:rsidP="004E2F1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b/>
          <w:i/>
          <w:lang w:val="es-ES_tradnl" w:eastAsia="es-ES"/>
        </w:rPr>
      </w:pPr>
    </w:p>
    <w:p w:rsidR="00175C22" w:rsidRPr="00175C22" w:rsidRDefault="00175C22" w:rsidP="00C520EE">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b/>
          <w:i/>
          <w:lang w:val="es-ES_tradnl" w:eastAsia="es-ES"/>
        </w:rPr>
      </w:pPr>
      <w:r w:rsidRPr="00175C22">
        <w:rPr>
          <w:rFonts w:ascii="Palatino Linotype" w:eastAsia="Times New Roman" w:hAnsi="Palatino Linotype"/>
          <w:b/>
          <w:i/>
          <w:lang w:val="es-ES_tradnl" w:eastAsia="es-ES"/>
        </w:rPr>
        <w:t>OFICIO DE RESPUESTA.PDF</w:t>
      </w:r>
      <w:r>
        <w:rPr>
          <w:rFonts w:ascii="Palatino Linotype" w:eastAsia="Times New Roman" w:hAnsi="Palatino Linotype"/>
          <w:b/>
          <w:i/>
          <w:lang w:val="es-ES_tradnl" w:eastAsia="es-ES"/>
        </w:rPr>
        <w:t>:</w:t>
      </w:r>
      <w:r w:rsidR="00B14637">
        <w:rPr>
          <w:rFonts w:ascii="Palatino Linotype" w:eastAsia="Times New Roman" w:hAnsi="Palatino Linotype"/>
          <w:b/>
          <w:i/>
          <w:lang w:val="es-ES_tradnl" w:eastAsia="es-ES"/>
        </w:rPr>
        <w:t xml:space="preserve"> </w:t>
      </w:r>
      <w:r w:rsidR="00B14637">
        <w:rPr>
          <w:rFonts w:ascii="Palatino Linotype" w:eastAsia="Times New Roman" w:hAnsi="Palatino Linotype"/>
          <w:lang w:val="es-ES_tradnl" w:eastAsia="es-ES"/>
        </w:rPr>
        <w:t xml:space="preserve">Documento electrónico que una hoja contiene un oficio de fecha veintitrés (23) de junio de dos mil dieciocho, </w:t>
      </w:r>
      <w:r w:rsidR="00B14637">
        <w:rPr>
          <w:rFonts w:ascii="Palatino Linotype" w:eastAsia="Times New Roman" w:hAnsi="Palatino Linotype"/>
          <w:lang w:val="es-ES_tradnl" w:eastAsia="es-ES"/>
        </w:rPr>
        <w:lastRenderedPageBreak/>
        <w:t xml:space="preserve">signado por el Responsable de la Unidad de Trasparencia, dirigido al solicitante de información, mediante el cual se notifica el acuerdo de solicitud de aclaración.  </w:t>
      </w:r>
    </w:p>
    <w:p w:rsidR="00175C22" w:rsidRPr="00175C22" w:rsidRDefault="00175C22" w:rsidP="00175C2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CC3A72" w:rsidRPr="00CC3A72" w:rsidRDefault="00CC3A72"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Pr>
          <w:rFonts w:ascii="Palatino Linotype" w:eastAsia="Times New Roman" w:hAnsi="Palatino Linotype"/>
          <w:lang w:val="es-ES_tradnl" w:eastAsia="es-ES"/>
        </w:rPr>
        <w:t xml:space="preserve">El </w:t>
      </w:r>
      <w:r>
        <w:rPr>
          <w:rFonts w:ascii="Palatino Linotype" w:eastAsia="Times New Roman" w:hAnsi="Palatino Linotype"/>
          <w:b/>
          <w:lang w:val="es-ES_tradnl" w:eastAsia="es-ES"/>
        </w:rPr>
        <w:t xml:space="preserve">RECURRENTE </w:t>
      </w:r>
      <w:r>
        <w:rPr>
          <w:rFonts w:ascii="Palatino Linotype" w:eastAsia="Times New Roman" w:hAnsi="Palatino Linotype"/>
          <w:lang w:val="es-ES_tradnl" w:eastAsia="es-ES"/>
        </w:rPr>
        <w:t xml:space="preserve">en atención a dicho requerimiento manifestó: </w:t>
      </w:r>
    </w:p>
    <w:p w:rsidR="00CC3A72" w:rsidRPr="00CC3A72" w:rsidRDefault="00CC3A72" w:rsidP="00CC3A7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CC3A72" w:rsidRPr="00CC3A72" w:rsidRDefault="00CC3A72" w:rsidP="00CC3A72">
      <w:pPr>
        <w:pStyle w:val="Prrafodelista"/>
        <w:spacing w:before="240" w:after="240"/>
        <w:ind w:left="567" w:right="616"/>
        <w:jc w:val="both"/>
        <w:rPr>
          <w:rFonts w:ascii="Palatino Linotype" w:hAnsi="Palatino Linotype" w:cs="Arial"/>
          <w:i/>
          <w:szCs w:val="28"/>
        </w:rPr>
      </w:pPr>
      <w:r w:rsidRPr="00CC3A72">
        <w:rPr>
          <w:rFonts w:ascii="Palatino Linotype" w:hAnsi="Palatino Linotype" w:cs="Arial"/>
          <w:i/>
          <w:szCs w:val="28"/>
        </w:rPr>
        <w:t>“lo solicitado cumple con lo establecido en la ley de transparencia por ende entregue la información y documentación solicitada”</w:t>
      </w:r>
      <w:r>
        <w:rPr>
          <w:rFonts w:ascii="Palatino Linotype" w:hAnsi="Palatino Linotype" w:cs="Arial"/>
          <w:i/>
          <w:szCs w:val="28"/>
        </w:rPr>
        <w:t xml:space="preserve"> (Sic)</w:t>
      </w:r>
    </w:p>
    <w:p w:rsidR="00CC3A72" w:rsidRPr="00CC3A72" w:rsidRDefault="00CC3A72" w:rsidP="00CC3A7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196BFE" w:rsidRPr="00196BFE" w:rsidRDefault="00196BFE"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Pr>
          <w:rFonts w:ascii="Palatino Linotype" w:eastAsia="Times New Roman" w:hAnsi="Palatino Linotype"/>
          <w:lang w:val="es-ES_tradnl" w:eastAsia="es-ES"/>
        </w:rPr>
        <w:t xml:space="preserve">A dicha aclaración el </w:t>
      </w:r>
      <w:r>
        <w:rPr>
          <w:rFonts w:ascii="Palatino Linotype" w:eastAsia="Times New Roman" w:hAnsi="Palatino Linotype"/>
          <w:b/>
          <w:lang w:val="es-ES_tradnl" w:eastAsia="es-ES"/>
        </w:rPr>
        <w:t xml:space="preserve">RECURRENTE </w:t>
      </w:r>
      <w:r>
        <w:rPr>
          <w:rFonts w:ascii="Palatino Linotype" w:eastAsia="Times New Roman" w:hAnsi="Palatino Linotype"/>
          <w:lang w:val="es-ES_tradnl" w:eastAsia="es-ES"/>
        </w:rPr>
        <w:t>anexó el siguiente documento:</w:t>
      </w:r>
    </w:p>
    <w:p w:rsidR="00196BFE" w:rsidRDefault="00196BFE" w:rsidP="00196BF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lang w:val="es-ES_tradnl" w:eastAsia="es-ES"/>
        </w:rPr>
      </w:pPr>
    </w:p>
    <w:p w:rsidR="00F51C6F" w:rsidRPr="00F51C6F" w:rsidRDefault="00084589" w:rsidP="00C520EE">
      <w:pPr>
        <w:pStyle w:val="Prrafodelista"/>
        <w:numPr>
          <w:ilvl w:val="0"/>
          <w:numId w:val="6"/>
        </w:numPr>
        <w:spacing w:before="240" w:after="240" w:line="360" w:lineRule="auto"/>
        <w:ind w:left="567" w:right="616" w:firstLine="0"/>
        <w:jc w:val="both"/>
        <w:rPr>
          <w:rFonts w:ascii="Palatino Linotype" w:eastAsia="Times New Roman" w:hAnsi="Palatino Linotype" w:cs="Arial"/>
          <w:bdr w:val="none" w:sz="0" w:space="0" w:color="auto"/>
          <w:lang w:val="es-ES" w:eastAsia="es-ES"/>
        </w:rPr>
      </w:pPr>
      <w:hyperlink r:id="rId8" w:tgtFrame="_blank" w:history="1">
        <w:r w:rsidR="00196BFE" w:rsidRPr="00F51C6F">
          <w:rPr>
            <w:rStyle w:val="Hipervnculo"/>
            <w:rFonts w:ascii="Palatino Linotype" w:eastAsia="Times New Roman" w:hAnsi="Palatino Linotype"/>
            <w:b/>
            <w:bCs/>
            <w:color w:val="000000" w:themeColor="text1"/>
            <w:u w:val="none"/>
            <w:lang w:eastAsia="es-ES"/>
          </w:rPr>
          <w:t xml:space="preserve">331 contralor </w:t>
        </w:r>
        <w:proofErr w:type="spellStart"/>
        <w:r w:rsidR="00196BFE" w:rsidRPr="00F51C6F">
          <w:rPr>
            <w:rStyle w:val="Hipervnculo"/>
            <w:rFonts w:ascii="Palatino Linotype" w:eastAsia="Times New Roman" w:hAnsi="Palatino Linotype"/>
            <w:b/>
            <w:bCs/>
            <w:color w:val="000000" w:themeColor="text1"/>
            <w:u w:val="none"/>
            <w:lang w:eastAsia="es-ES"/>
          </w:rPr>
          <w:t>gacm</w:t>
        </w:r>
        <w:proofErr w:type="spellEnd"/>
        <w:r w:rsidR="00196BFE" w:rsidRPr="00F51C6F">
          <w:rPr>
            <w:rStyle w:val="Hipervnculo"/>
            <w:rFonts w:ascii="Palatino Linotype" w:eastAsia="Times New Roman" w:hAnsi="Palatino Linotype"/>
            <w:b/>
            <w:bCs/>
            <w:color w:val="000000" w:themeColor="text1"/>
            <w:u w:val="none"/>
            <w:lang w:eastAsia="es-ES"/>
          </w:rPr>
          <w:t xml:space="preserve"> DGP 1.pdf</w:t>
        </w:r>
      </w:hyperlink>
      <w:r w:rsidR="00196BFE" w:rsidRPr="00F51C6F">
        <w:rPr>
          <w:rFonts w:ascii="Palatino Linotype" w:eastAsia="Times New Roman" w:hAnsi="Palatino Linotype"/>
          <w:b/>
          <w:color w:val="000000" w:themeColor="text1"/>
          <w:lang w:val="es-ES_tradnl" w:eastAsia="es-ES"/>
        </w:rPr>
        <w:t xml:space="preserve">: </w:t>
      </w:r>
      <w:r w:rsidR="00196BFE" w:rsidRPr="00F51C6F">
        <w:rPr>
          <w:rFonts w:ascii="Palatino Linotype" w:eastAsia="Times New Roman" w:hAnsi="Palatino Linotype"/>
          <w:color w:val="000000" w:themeColor="text1"/>
          <w:lang w:val="es-ES_tradnl" w:eastAsia="es-ES"/>
        </w:rPr>
        <w:t xml:space="preserve">Documento electrónico que en dos (02) hojas contiene el </w:t>
      </w:r>
      <w:r w:rsidR="00F51C6F" w:rsidRPr="00F51C6F">
        <w:rPr>
          <w:rFonts w:ascii="Palatino Linotype" w:eastAsia="Times New Roman" w:hAnsi="Palatino Linotype" w:cs="Arial"/>
          <w:bdr w:val="none" w:sz="0" w:space="0" w:color="auto"/>
          <w:lang w:val="es-ES" w:eastAsia="es-ES"/>
        </w:rPr>
        <w:t xml:space="preserve">“FORMATO ÚNICO DE MOVIMIENTOS DE PERSONAL” emitido por la Dirección General de Personal de la Subsecretaría de Administración de la Secretaría de Finanzas del Gobierno del Estado de México, con número de folio 830000000, de fecha veintiséis de julio de dos mil dieciocho; en donde se aprecia el trámite de alta y adscripción  del servidor público de quien se requirió información, a la Contraloría Interna de la Secretaría de Obra Pública. </w:t>
      </w:r>
    </w:p>
    <w:p w:rsidR="00196BFE" w:rsidRPr="00196BFE" w:rsidRDefault="00196BFE" w:rsidP="00F51C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imes New Roman" w:hAnsi="Palatino Linotype"/>
          <w:b/>
          <w:color w:val="000000" w:themeColor="text1"/>
          <w:lang w:val="es-ES_tradnl" w:eastAsia="es-ES"/>
        </w:rPr>
      </w:pPr>
    </w:p>
    <w:p w:rsidR="00196BFE" w:rsidRPr="00196BFE" w:rsidRDefault="00F51C6F" w:rsidP="00196BF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r>
        <w:rPr>
          <w:rFonts w:ascii="Palatino Linotype" w:eastAsia="Times New Roman" w:hAnsi="Palatino Linotype"/>
          <w:lang w:val="es-ES_tradnl" w:eastAsia="es-ES"/>
        </w:rPr>
        <w:t xml:space="preserve">   </w:t>
      </w:r>
    </w:p>
    <w:p w:rsidR="00CC0EC5" w:rsidRPr="00B14637" w:rsidRDefault="00CC0EC5" w:rsidP="002E6C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2E6CE2">
        <w:rPr>
          <w:rFonts w:ascii="Palatino Linotype" w:hAnsi="Palatino Linotype" w:cs="Arial"/>
        </w:rPr>
        <w:t xml:space="preserve">El </w:t>
      </w:r>
      <w:r w:rsidR="00EF2C52" w:rsidRPr="002E6CE2">
        <w:rPr>
          <w:rFonts w:ascii="Palatino Linotype" w:hAnsi="Palatino Linotype" w:cs="Arial"/>
          <w:b/>
        </w:rPr>
        <w:t>SUJETO OBLIGADO</w:t>
      </w:r>
      <w:r w:rsidR="00EF2C52" w:rsidRPr="002E6CE2">
        <w:rPr>
          <w:rFonts w:ascii="Palatino Linotype" w:hAnsi="Palatino Linotype" w:cs="Arial"/>
        </w:rPr>
        <w:t xml:space="preserve"> </w:t>
      </w:r>
      <w:r w:rsidRPr="002E6CE2">
        <w:rPr>
          <w:rFonts w:ascii="Palatino Linotype" w:hAnsi="Palatino Linotype" w:cs="Arial"/>
        </w:rPr>
        <w:t>mediante su escrito dio respuesta a la solicitud de información, de la siguiente manera:</w:t>
      </w:r>
    </w:p>
    <w:p w:rsidR="00B14637" w:rsidRPr="002E6CE2"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right"/>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Metepec, México a 13 de Septiembre de 2018</w:t>
      </w: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right"/>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 xml:space="preserve">Nombre del solicitante: </w:t>
      </w:r>
      <w:r w:rsidR="004E6276" w:rsidRPr="004E6276">
        <w:rPr>
          <w:rFonts w:ascii="Palatino Linotype" w:eastAsia="Times New Roman" w:hAnsi="Palatino Linotype"/>
          <w:i/>
          <w:highlight w:val="black"/>
          <w:lang w:val="es-ES_tradnl" w:eastAsia="es-ES"/>
        </w:rPr>
        <w:t>---------------------------------------------</w:t>
      </w:r>
    </w:p>
    <w:p w:rsid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right"/>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Folio de la solicitud: 00138/SECOGEM/IP/2018</w:t>
      </w: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right"/>
        <w:rPr>
          <w:rFonts w:ascii="Palatino Linotype" w:eastAsia="Times New Roman" w:hAnsi="Palatino Linotype"/>
          <w:i/>
          <w:lang w:val="es-ES_tradnl" w:eastAsia="es-ES"/>
        </w:rPr>
      </w:pPr>
    </w:p>
    <w:p w:rsid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eastAsia="Times New Roman" w:hAnsi="Palatino Linotype"/>
          <w:i/>
          <w:lang w:val="es-ES_tradnl" w:eastAsia="es-ES"/>
        </w:rPr>
      </w:pP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Se anexa oficio de respuesta.</w:t>
      </w: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ATENTAMENTE</w:t>
      </w:r>
    </w:p>
    <w:p w:rsid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lang w:val="es-ES_tradnl" w:eastAsia="es-ES"/>
        </w:rPr>
      </w:pPr>
      <w:r w:rsidRPr="00B14637">
        <w:rPr>
          <w:rFonts w:ascii="Palatino Linotype" w:eastAsia="Times New Roman" w:hAnsi="Palatino Linotype"/>
          <w:i/>
          <w:lang w:val="es-ES_tradnl" w:eastAsia="es-ES"/>
        </w:rPr>
        <w:t>LIC. JORGE BERNÁLDEZ AGUILAR</w:t>
      </w:r>
    </w:p>
    <w:p w:rsidR="00B14637" w:rsidRPr="00B14637" w:rsidRDefault="00B14637" w:rsidP="00B146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jc w:val="both"/>
        <w:rPr>
          <w:rFonts w:ascii="Palatino Linotype" w:eastAsia="Times New Roman" w:hAnsi="Palatino Linotype"/>
          <w:i/>
          <w:lang w:val="es-ES_tradnl" w:eastAsia="es-ES"/>
        </w:rPr>
      </w:pPr>
    </w:p>
    <w:p w:rsidR="00CC0EC5" w:rsidRPr="004E2F1E" w:rsidRDefault="00A7538B" w:rsidP="004E2F1E">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firstLine="0"/>
        <w:jc w:val="both"/>
        <w:rPr>
          <w:rFonts w:ascii="Palatino Linotype" w:hAnsi="Palatino Linotype" w:cs="Arial"/>
          <w:i/>
        </w:rPr>
      </w:pPr>
      <w:r>
        <w:rPr>
          <w:rFonts w:ascii="Palatino Linotype" w:hAnsi="Palatino Linotype" w:cs="Arial"/>
        </w:rPr>
        <w:t xml:space="preserve">El </w:t>
      </w:r>
      <w:r w:rsidRPr="00A7538B">
        <w:rPr>
          <w:rFonts w:ascii="Palatino Linotype" w:hAnsi="Palatino Linotype" w:cs="Arial"/>
          <w:b/>
        </w:rPr>
        <w:t>SUJETO OBLIGADO</w:t>
      </w:r>
      <w:r>
        <w:rPr>
          <w:rFonts w:ascii="Palatino Linotype" w:hAnsi="Palatino Linotype" w:cs="Arial"/>
        </w:rPr>
        <w:t xml:space="preserve"> en su respuesta se adjuntaron </w:t>
      </w:r>
      <w:r w:rsidR="004E2F1E">
        <w:rPr>
          <w:rFonts w:ascii="Palatino Linotype" w:hAnsi="Palatino Linotype" w:cs="Arial"/>
        </w:rPr>
        <w:t>diversos archivos electrónicos:</w:t>
      </w:r>
    </w:p>
    <w:p w:rsidR="004E2F1E" w:rsidRPr="004E2F1E" w:rsidRDefault="004E2F1E" w:rsidP="004E2F1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616"/>
        <w:jc w:val="both"/>
        <w:rPr>
          <w:rFonts w:ascii="Palatino Linotype" w:hAnsi="Palatino Linotype" w:cs="Arial"/>
          <w:i/>
        </w:rPr>
      </w:pPr>
    </w:p>
    <w:p w:rsidR="004E2F1E" w:rsidRPr="00073934" w:rsidRDefault="004E2F1E" w:rsidP="00C520EE">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cs="Arial"/>
          <w:b/>
        </w:rPr>
      </w:pPr>
      <w:r w:rsidRPr="004E2F1E">
        <w:rPr>
          <w:rFonts w:ascii="Palatino Linotype" w:hAnsi="Palatino Linotype" w:cs="Arial"/>
          <w:b/>
        </w:rPr>
        <w:t>OFICIO DE RESPUESTA</w:t>
      </w:r>
      <w:proofErr w:type="gramStart"/>
      <w:r w:rsidRPr="004E2F1E">
        <w:rPr>
          <w:rFonts w:ascii="Palatino Linotype" w:hAnsi="Palatino Linotype" w:cs="Arial"/>
          <w:b/>
        </w:rPr>
        <w:t>..</w:t>
      </w:r>
      <w:proofErr w:type="gramEnd"/>
      <w:r w:rsidRPr="004E2F1E">
        <w:rPr>
          <w:rFonts w:ascii="Palatino Linotype" w:hAnsi="Palatino Linotype" w:cs="Arial"/>
          <w:b/>
        </w:rPr>
        <w:t>PDF:</w:t>
      </w:r>
      <w:r w:rsidR="00196BFE">
        <w:rPr>
          <w:rFonts w:ascii="Palatino Linotype" w:hAnsi="Palatino Linotype" w:cs="Arial"/>
          <w:b/>
        </w:rPr>
        <w:t xml:space="preserve"> </w:t>
      </w:r>
      <w:r w:rsidR="00196BFE">
        <w:rPr>
          <w:rFonts w:ascii="Palatino Linotype" w:hAnsi="Palatino Linotype" w:cs="Arial"/>
        </w:rPr>
        <w:t xml:space="preserve">Documento electrónico que en una (01) hoja contiene el oficio de fecha trece de septiembre de dos mil dieciocho signado por el Titular de la Unidad de Transparencia, dirigido al particular mediante el cual  </w:t>
      </w:r>
      <w:r w:rsidR="009B3892">
        <w:rPr>
          <w:rFonts w:ascii="Palatino Linotype" w:hAnsi="Palatino Linotype" w:cs="Arial"/>
        </w:rPr>
        <w:t>se ponía a disposición la información solicitada.</w:t>
      </w:r>
    </w:p>
    <w:p w:rsidR="00073934" w:rsidRPr="00073934" w:rsidRDefault="00073934" w:rsidP="0007393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b/>
        </w:rPr>
      </w:pPr>
    </w:p>
    <w:p w:rsidR="004E2F1E" w:rsidRPr="009362EC" w:rsidRDefault="004E2F1E" w:rsidP="00C520EE">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cs="Arial"/>
          <w:b/>
        </w:rPr>
      </w:pPr>
      <w:r w:rsidRPr="004E2F1E">
        <w:rPr>
          <w:rFonts w:ascii="Palatino Linotype" w:hAnsi="Palatino Linotype" w:cs="Arial"/>
          <w:b/>
        </w:rPr>
        <w:t>Nombramiento TOIC.PDF:</w:t>
      </w:r>
      <w:r w:rsidR="009B3892">
        <w:rPr>
          <w:rFonts w:ascii="Palatino Linotype" w:hAnsi="Palatino Linotype" w:cs="Arial"/>
          <w:b/>
        </w:rPr>
        <w:t xml:space="preserve"> </w:t>
      </w:r>
      <w:r w:rsidR="009B3892">
        <w:rPr>
          <w:rFonts w:ascii="Palatino Linotype" w:hAnsi="Palatino Linotype" w:cs="Arial"/>
        </w:rPr>
        <w:t xml:space="preserve">Documento electrónico que </w:t>
      </w:r>
      <w:r w:rsidR="009362EC">
        <w:rPr>
          <w:rFonts w:ascii="Palatino Linotype" w:hAnsi="Palatino Linotype" w:cs="Arial"/>
        </w:rPr>
        <w:t xml:space="preserve">una (01) hoja contiene un escrito de fecha dieciséis de junio de dos mil dieciocho, en el cual se aprecia el Nombramiento del servidor público de quien </w:t>
      </w:r>
      <w:proofErr w:type="spellStart"/>
      <w:r w:rsidR="009362EC">
        <w:rPr>
          <w:rFonts w:ascii="Palatino Linotype" w:hAnsi="Palatino Linotype" w:cs="Arial"/>
        </w:rPr>
        <w:t>due</w:t>
      </w:r>
      <w:proofErr w:type="spellEnd"/>
      <w:r w:rsidR="009362EC">
        <w:rPr>
          <w:rFonts w:ascii="Palatino Linotype" w:hAnsi="Palatino Linotype" w:cs="Arial"/>
        </w:rPr>
        <w:t xml:space="preserve"> solicitada la información, como “Titular del Órgano de Control en la Secretaría de Obra Pública”, firmado por el Secretario de la Contraloría. </w:t>
      </w:r>
    </w:p>
    <w:p w:rsidR="009362EC" w:rsidRPr="00073934" w:rsidRDefault="004E2F1E" w:rsidP="00C520EE">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cs="Arial"/>
          <w:b/>
        </w:rPr>
      </w:pPr>
      <w:r w:rsidRPr="004E2F1E">
        <w:rPr>
          <w:rFonts w:ascii="Palatino Linotype" w:hAnsi="Palatino Linotype" w:cs="Arial"/>
          <w:b/>
        </w:rPr>
        <w:t>Acta de Entrega-Recepción.PDF:</w:t>
      </w:r>
      <w:r w:rsidR="009362EC">
        <w:rPr>
          <w:rFonts w:ascii="Palatino Linotype" w:hAnsi="Palatino Linotype" w:cs="Arial"/>
          <w:b/>
        </w:rPr>
        <w:t xml:space="preserve"> </w:t>
      </w:r>
      <w:r w:rsidR="009362EC">
        <w:rPr>
          <w:rFonts w:ascii="Palatino Linotype" w:hAnsi="Palatino Linotype" w:cs="Arial"/>
        </w:rPr>
        <w:t xml:space="preserve">Documento electrónico que en (04) hojas contiene el Acta de Entrega-Recepción de la </w:t>
      </w:r>
      <w:proofErr w:type="spellStart"/>
      <w:r w:rsidR="009362EC">
        <w:rPr>
          <w:rFonts w:ascii="Palatino Linotype" w:hAnsi="Palatino Linotype" w:cs="Arial"/>
        </w:rPr>
        <w:t>Subcontraloría</w:t>
      </w:r>
      <w:proofErr w:type="spellEnd"/>
      <w:r w:rsidR="009362EC">
        <w:rPr>
          <w:rFonts w:ascii="Palatino Linotype" w:hAnsi="Palatino Linotype" w:cs="Arial"/>
        </w:rPr>
        <w:t xml:space="preserve"> Interna de Agua y Obra Pública, por parte del servidor público del cual fue requerida información, quien dejo de ocupar el cargo de </w:t>
      </w:r>
      <w:proofErr w:type="spellStart"/>
      <w:r w:rsidR="009362EC">
        <w:rPr>
          <w:rFonts w:ascii="Palatino Linotype" w:hAnsi="Palatino Linotype" w:cs="Arial"/>
        </w:rPr>
        <w:t>Subcontralor</w:t>
      </w:r>
      <w:proofErr w:type="spellEnd"/>
      <w:r w:rsidR="009362EC">
        <w:rPr>
          <w:rFonts w:ascii="Palatino Linotype" w:hAnsi="Palatino Linotype" w:cs="Arial"/>
        </w:rPr>
        <w:t xml:space="preserve"> Interno de Agua y Obra Pública </w:t>
      </w:r>
      <w:r w:rsidR="009362EC" w:rsidRPr="009362EC">
        <w:rPr>
          <w:rFonts w:ascii="Palatino Linotype" w:hAnsi="Palatino Linotype" w:cs="Arial"/>
        </w:rPr>
        <w:t>e hizo entrega al Arq. Edmundo Castelán Pérez, quienes firman al calce del documento, junto con dos t</w:t>
      </w:r>
      <w:r w:rsidR="009362EC">
        <w:rPr>
          <w:rFonts w:ascii="Palatino Linotype" w:hAnsi="Palatino Linotype" w:cs="Arial"/>
        </w:rPr>
        <w:t xml:space="preserve">estigos de </w:t>
      </w:r>
      <w:proofErr w:type="spellStart"/>
      <w:r w:rsidR="009362EC">
        <w:rPr>
          <w:rFonts w:ascii="Palatino Linotype" w:hAnsi="Palatino Linotype" w:cs="Arial"/>
        </w:rPr>
        <w:t>asistencia.</w:t>
      </w:r>
      <w:r w:rsidR="009362EC" w:rsidRPr="009362EC">
        <w:rPr>
          <w:rFonts w:ascii="Palatino Linotype" w:hAnsi="Palatino Linotype" w:cs="Arial"/>
        </w:rPr>
        <w:t>Cabe</w:t>
      </w:r>
      <w:proofErr w:type="spellEnd"/>
      <w:r w:rsidR="009362EC" w:rsidRPr="009362EC">
        <w:rPr>
          <w:rFonts w:ascii="Palatino Linotype" w:hAnsi="Palatino Linotype" w:cs="Arial"/>
        </w:rPr>
        <w:t xml:space="preserve"> señalar que el acta referida contiene información dispuesta en columnas con los rubros siguientes: “Concepto”, “No. </w:t>
      </w:r>
      <w:proofErr w:type="spellStart"/>
      <w:r w:rsidR="009362EC" w:rsidRPr="009362EC">
        <w:rPr>
          <w:rFonts w:ascii="Palatino Linotype" w:hAnsi="Palatino Linotype" w:cs="Arial"/>
        </w:rPr>
        <w:t>Progr</w:t>
      </w:r>
      <w:proofErr w:type="spellEnd"/>
      <w:r w:rsidR="009362EC" w:rsidRPr="009362EC">
        <w:rPr>
          <w:rFonts w:ascii="Palatino Linotype" w:hAnsi="Palatino Linotype" w:cs="Arial"/>
        </w:rPr>
        <w:t xml:space="preserve"> de Anexo” y “Comentarios”</w:t>
      </w:r>
    </w:p>
    <w:p w:rsidR="00073934" w:rsidRPr="009362EC" w:rsidRDefault="00073934" w:rsidP="0007393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b/>
        </w:rPr>
      </w:pPr>
    </w:p>
    <w:p w:rsidR="004E2F1E" w:rsidRPr="004E2F1E" w:rsidRDefault="004E2F1E" w:rsidP="00C520EE">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cs="Arial"/>
          <w:b/>
        </w:rPr>
      </w:pPr>
      <w:r w:rsidRPr="004E2F1E">
        <w:rPr>
          <w:rFonts w:ascii="Palatino Linotype" w:hAnsi="Palatino Linotype" w:cs="Arial"/>
          <w:b/>
        </w:rPr>
        <w:t>Oficio de respuesta.PDF:</w:t>
      </w:r>
      <w:r w:rsidR="009362EC">
        <w:rPr>
          <w:rFonts w:ascii="Palatino Linotype" w:hAnsi="Palatino Linotype" w:cs="Arial"/>
          <w:b/>
        </w:rPr>
        <w:t xml:space="preserve"> </w:t>
      </w:r>
      <w:r w:rsidR="0083778A">
        <w:rPr>
          <w:rFonts w:ascii="Palatino Linotype" w:hAnsi="Palatino Linotype" w:cs="Arial"/>
        </w:rPr>
        <w:t xml:space="preserve">Documento electrónico que en tres (03) hojas contiene el oficio 230060000/519/2018, de fecha once de septiembre de dos mil dieciocho, signado por el Titular del Órgano Interno de Control en la Secretaría de Obra Pública del Gobierno del Estado de México, dirigido al Responsable de la Unidad de Transparencia de la Secretaría de la </w:t>
      </w:r>
      <w:r w:rsidR="0083778A">
        <w:rPr>
          <w:rFonts w:ascii="Palatino Linotype" w:hAnsi="Palatino Linotype" w:cs="Arial"/>
        </w:rPr>
        <w:lastRenderedPageBreak/>
        <w:t xml:space="preserve">Contraloría del Gobierno del Estado de México mediante el cual se da respuesta a la solicitud de información. </w:t>
      </w:r>
    </w:p>
    <w:p w:rsidR="00CC0EC5" w:rsidRPr="00924DF4" w:rsidRDefault="00CC0EC5" w:rsidP="00EF2C52">
      <w:pPr>
        <w:ind w:right="616"/>
        <w:jc w:val="both"/>
        <w:rPr>
          <w:rFonts w:ascii="Palatino Linotype" w:eastAsia="Times New Roman" w:hAnsi="Palatino Linotype"/>
          <w:i/>
          <w:lang w:val="es-ES_tradnl" w:eastAsia="es-ES"/>
        </w:rPr>
      </w:pPr>
    </w:p>
    <w:p w:rsidR="0007502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w:t>
      </w:r>
      <w:r w:rsidR="0083778A">
        <w:rPr>
          <w:rFonts w:ascii="Palatino Linotype" w:hAnsi="Palatino Linotype" w:cs="Arial"/>
        </w:rPr>
        <w:t xml:space="preserve">atiende la solicitud con máxima publicidad y trasparencia.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p w:rsidR="00864D58" w:rsidRDefault="00CD617D" w:rsidP="00374684">
      <w:pPr>
        <w:pStyle w:val="Ttulo1"/>
      </w:pPr>
      <w:bookmarkStart w:id="6" w:name="_Toc531016145"/>
      <w:r>
        <w:t>De la Clasificación de la Información como Reservada</w:t>
      </w:r>
      <w:r w:rsidR="00864D58" w:rsidRPr="004F719D">
        <w:t>.</w:t>
      </w:r>
      <w:bookmarkEnd w:id="4"/>
      <w:bookmarkEnd w:id="5"/>
      <w:bookmarkEnd w:id="6"/>
    </w:p>
    <w:p w:rsidR="00864D58" w:rsidRPr="004F719D" w:rsidRDefault="00864D58" w:rsidP="00EF2C52">
      <w:pPr>
        <w:rPr>
          <w:rFonts w:ascii="Palatino Linotype" w:hAnsi="Palatino Linotype"/>
          <w:color w:val="000000" w:themeColor="text1"/>
        </w:rPr>
      </w:pPr>
    </w:p>
    <w:p w:rsidR="0076317E" w:rsidRPr="00073934" w:rsidRDefault="00170FB4" w:rsidP="0007393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F719D">
        <w:rPr>
          <w:rFonts w:ascii="Palatino Linotype" w:hAnsi="Palatino Linotype" w:cs="Arial"/>
          <w:color w:val="000000"/>
        </w:rPr>
        <w:t>Como ya f</w:t>
      </w:r>
      <w:r w:rsidR="00CC0EC5">
        <w:rPr>
          <w:rFonts w:ascii="Palatino Linotype" w:hAnsi="Palatino Linotype" w:cs="Arial"/>
          <w:color w:val="000000"/>
        </w:rPr>
        <w:t>ue</w:t>
      </w:r>
      <w:r w:rsidRPr="004F719D">
        <w:rPr>
          <w:rFonts w:ascii="Palatino Linotype" w:hAnsi="Palatino Linotype" w:cs="Arial"/>
          <w:color w:val="000000"/>
        </w:rPr>
        <w:t xml:space="preserve"> precisado,</w:t>
      </w:r>
      <w:r w:rsidR="00CC0EC5" w:rsidRPr="00CC0EC5">
        <w:rPr>
          <w:rFonts w:ascii="Palatino Linotype" w:hAnsi="Palatino Linotype" w:cs="Arial"/>
        </w:rPr>
        <w:t xml:space="preserve"> </w:t>
      </w:r>
      <w:r w:rsidR="00366D22">
        <w:rPr>
          <w:rFonts w:ascii="Palatino Linotype" w:hAnsi="Palatino Linotype" w:cs="Arial"/>
        </w:rPr>
        <w:t>la pone</w:t>
      </w:r>
      <w:r w:rsidR="00624AB6">
        <w:rPr>
          <w:rFonts w:ascii="Palatino Linotype" w:hAnsi="Palatino Linotype" w:cs="Arial"/>
        </w:rPr>
        <w:t xml:space="preserve">ncia </w:t>
      </w:r>
      <w:r w:rsidR="0076317E">
        <w:rPr>
          <w:rFonts w:ascii="Palatino Linotype" w:hAnsi="Palatino Linotype" w:cs="Arial"/>
        </w:rPr>
        <w:t xml:space="preserve">resuelve que es procedente ordenar al </w:t>
      </w:r>
      <w:r w:rsidR="0076317E">
        <w:rPr>
          <w:rFonts w:ascii="Palatino Linotype" w:hAnsi="Palatino Linotype" w:cs="Arial"/>
          <w:b/>
        </w:rPr>
        <w:t>SUJETO OBLIGADO</w:t>
      </w:r>
      <w:r w:rsidR="0076317E">
        <w:rPr>
          <w:rFonts w:ascii="Palatino Linotype" w:hAnsi="Palatino Linotype" w:cs="Arial"/>
        </w:rPr>
        <w:t>, proporcione al particular el Acta de Entrega-Recepción de fecha veintidós de agosto de dos mil dieciséis</w:t>
      </w:r>
      <w:r w:rsidR="00023001">
        <w:rPr>
          <w:rFonts w:ascii="Palatino Linotype" w:hAnsi="Palatino Linotype" w:cs="Arial"/>
        </w:rPr>
        <w:t xml:space="preserve"> y sus </w:t>
      </w:r>
      <w:r w:rsidR="00073934">
        <w:rPr>
          <w:rFonts w:ascii="Palatino Linotype" w:hAnsi="Palatino Linotype" w:cs="Arial"/>
        </w:rPr>
        <w:t xml:space="preserve">anexos, </w:t>
      </w:r>
      <w:r w:rsidR="00023001">
        <w:rPr>
          <w:rFonts w:ascii="Palatino Linotype" w:hAnsi="Palatino Linotype" w:cs="Arial"/>
        </w:rPr>
        <w:t xml:space="preserve">por otro lado también ordena </w:t>
      </w:r>
      <w:r w:rsidR="00073934" w:rsidRPr="00073934">
        <w:rPr>
          <w:rFonts w:ascii="Palatino Linotype" w:hAnsi="Palatino Linotype" w:cs="Arial"/>
        </w:rPr>
        <w:t>búsqueda exhaustiva y razonable en sus archivos y de ser el caso, entregue en versión pública al particular, las denuncias presentadas ante la PGR, actualmente Fiscalía General de la República, relacionadas con el servidor público de quien fue solicitada información</w:t>
      </w:r>
      <w:r w:rsidR="00023001">
        <w:rPr>
          <w:rFonts w:ascii="Palatino Linotype" w:hAnsi="Palatino Linotype" w:cs="Arial"/>
        </w:rPr>
        <w:t>,</w:t>
      </w:r>
      <w:r w:rsidR="00073934">
        <w:rPr>
          <w:rFonts w:ascii="Palatino Linotype" w:hAnsi="Palatino Linotype" w:cs="Arial"/>
        </w:rPr>
        <w:t xml:space="preserve"> </w:t>
      </w:r>
      <w:r w:rsidR="0076317E" w:rsidRPr="00073934">
        <w:rPr>
          <w:rFonts w:ascii="Palatino Linotype" w:hAnsi="Palatino Linotype" w:cs="Arial"/>
        </w:rPr>
        <w:t>refiriendo que en atención a la naturaleza de la información</w:t>
      </w:r>
      <w:r w:rsidR="00624AB6" w:rsidRPr="00073934">
        <w:rPr>
          <w:rFonts w:ascii="Palatino Linotype" w:hAnsi="Palatino Linotype" w:cs="Arial"/>
        </w:rPr>
        <w:t xml:space="preserve"> que sea proporcionada, misma</w:t>
      </w:r>
      <w:r w:rsidR="0076317E" w:rsidRPr="00073934">
        <w:rPr>
          <w:rFonts w:ascii="Palatino Linotype" w:hAnsi="Palatino Linotype" w:cs="Arial"/>
        </w:rPr>
        <w:t xml:space="preserve"> que puede estar relacionada de manera enunciativa y no limitativa, con expedientes y procedimientos de responsabilidades</w:t>
      </w:r>
      <w:r w:rsidR="00624AB6" w:rsidRPr="00073934">
        <w:rPr>
          <w:rFonts w:ascii="Palatino Linotype" w:hAnsi="Palatino Linotype" w:cs="Arial"/>
        </w:rPr>
        <w:t xml:space="preserve"> administrativas de servidores públicos; auditorias, revisiones y evaluaciones de diversas dependencias;</w:t>
      </w:r>
      <w:r w:rsidR="0076317E" w:rsidRPr="00073934">
        <w:rPr>
          <w:rFonts w:ascii="Palatino Linotype" w:hAnsi="Palatino Linotype" w:cs="Arial"/>
        </w:rPr>
        <w:t xml:space="preserve"> </w:t>
      </w:r>
      <w:r w:rsidR="00624AB6" w:rsidRPr="00073934">
        <w:rPr>
          <w:rFonts w:ascii="Palatino Linotype" w:hAnsi="Palatino Linotype"/>
        </w:rPr>
        <w:t xml:space="preserve">declaraciones de situación patrimonial y de intereses, así como en materia fiscal de servidores públicos; denuncias y quejas de particulares en contra de aquellos; entre otros actos, por lo que atento a lo anterior, el </w:t>
      </w:r>
      <w:r w:rsidR="00624AB6" w:rsidRPr="00073934">
        <w:rPr>
          <w:rFonts w:ascii="Palatino Linotype" w:hAnsi="Palatino Linotype"/>
          <w:b/>
        </w:rPr>
        <w:t xml:space="preserve">SUJETO </w:t>
      </w:r>
      <w:r w:rsidR="00624AB6" w:rsidRPr="00073934">
        <w:rPr>
          <w:rFonts w:ascii="Palatino Linotype" w:hAnsi="Palatino Linotype"/>
          <w:b/>
        </w:rPr>
        <w:lastRenderedPageBreak/>
        <w:t>OBLIGADO</w:t>
      </w:r>
      <w:r w:rsidR="00624AB6" w:rsidRPr="00073934">
        <w:rPr>
          <w:rFonts w:ascii="Palatino Linotype" w:hAnsi="Palatino Linotype"/>
        </w:rPr>
        <w:t xml:space="preserve"> deberá entregar la información correspondiente en versión pública y en su caso, clasificarla como información </w:t>
      </w:r>
      <w:r w:rsidR="00624AB6" w:rsidRPr="00023001">
        <w:rPr>
          <w:rFonts w:ascii="Palatino Linotype" w:hAnsi="Palatino Linotype"/>
          <w:b/>
        </w:rPr>
        <w:t>reservada</w:t>
      </w:r>
      <w:r w:rsidR="00624AB6" w:rsidRPr="00073934">
        <w:rPr>
          <w:rFonts w:ascii="Palatino Linotype" w:hAnsi="Palatino Linotype"/>
        </w:rPr>
        <w:t>…</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p w:rsidR="00CC0EC5" w:rsidRPr="00183114" w:rsidRDefault="007A69A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Compartiendo mi particular punto de vista con lo anterior, </w:t>
      </w:r>
      <w:r w:rsidR="00CC0EC5">
        <w:rPr>
          <w:rFonts w:ascii="Palatino Linotype" w:hAnsi="Palatino Linotype" w:cs="Arial"/>
        </w:rPr>
        <w:t xml:space="preserve">es menester señalar que el Instituto Nacional de Transparencia y Acceso a la Información y Protección de Datos Personales, en el </w:t>
      </w:r>
      <w:r w:rsidR="00CC0EC5" w:rsidRPr="00183114">
        <w:rPr>
          <w:rFonts w:ascii="Palatino Linotype" w:hAnsi="Palatino Linotype" w:cs="Arial"/>
        </w:rPr>
        <w:t>expediente RIA 82/18, establece que para acreditar la reserva de la información, es necesario actualizar cuatro requisitos, siendo estos los siguientes:</w:t>
      </w:r>
    </w:p>
    <w:p w:rsidR="00CC0EC5" w:rsidRPr="00924DF4" w:rsidRDefault="00CC0EC5" w:rsidP="00F511B5">
      <w:pPr>
        <w:pStyle w:val="Prrafodelista"/>
        <w:spacing w:line="360" w:lineRule="auto"/>
        <w:rPr>
          <w:rFonts w:ascii="Palatino Linotype" w:hAnsi="Palatino Linotype" w:cs="Arial"/>
        </w:rPr>
      </w:pPr>
    </w:p>
    <w:p w:rsidR="00CC0EC5" w:rsidRPr="0044164A" w:rsidRDefault="00CC0EC5" w:rsidP="00C520EE">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rsidR="0044164A" w:rsidRPr="0044164A" w:rsidRDefault="0044164A"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44164A" w:rsidRDefault="00CC0EC5" w:rsidP="00C520EE">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Que el juicio se encuentre en trámite, es decir, que no haya causado estad</w:t>
      </w:r>
      <w:r w:rsidR="00CD617D">
        <w:rPr>
          <w:rFonts w:ascii="Palatino Linotype" w:hAnsi="Palatino Linotype" w:cs="Arial"/>
          <w:b/>
        </w:rPr>
        <w:t>o</w:t>
      </w:r>
      <w:r w:rsidRPr="0044164A">
        <w:rPr>
          <w:rFonts w:ascii="Palatino Linotype" w:hAnsi="Palatino Linotype" w:cs="Arial"/>
          <w:b/>
        </w:rPr>
        <w:t>.</w:t>
      </w:r>
    </w:p>
    <w:p w:rsidR="00CC0EC5" w:rsidRPr="0044164A" w:rsidRDefault="00CC0EC5"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 </w:t>
      </w:r>
    </w:p>
    <w:p w:rsidR="00CC0EC5" w:rsidRPr="0044164A" w:rsidRDefault="00CC0EC5" w:rsidP="00C520EE">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rsidR="0044164A" w:rsidRPr="0044164A" w:rsidRDefault="0044164A"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44164A" w:rsidRDefault="00CC0EC5" w:rsidP="00C520EE">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924DF4" w:rsidRDefault="00CC0EC5" w:rsidP="00F511B5">
      <w:pPr>
        <w:pStyle w:val="Prrafodelista"/>
        <w:spacing w:before="240" w:after="240"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Por lo que, únicamente al configurarse los mismos</w:t>
      </w:r>
      <w:r w:rsidR="0044164A">
        <w:rPr>
          <w:rFonts w:ascii="Palatino Linotype" w:hAnsi="Palatino Linotype" w:cs="Arial"/>
        </w:rPr>
        <w:t>,</w:t>
      </w:r>
      <w:r>
        <w:rPr>
          <w:rFonts w:ascii="Palatino Linotype" w:hAnsi="Palatino Linotype" w:cs="Arial"/>
        </w:rPr>
        <w:t xml:space="preserve"> es procedente la reserva de la información, si uno de los requisitos faltase, no será en ningún momento posible su reserva. </w:t>
      </w:r>
    </w:p>
    <w:p w:rsidR="00CC0EC5" w:rsidRDefault="00CC0EC5" w:rsidP="00EF2C52">
      <w:pPr>
        <w:pStyle w:val="Prrafodelista"/>
        <w:spacing w:before="240" w:after="240"/>
        <w:ind w:left="0" w:right="49"/>
        <w:jc w:val="both"/>
        <w:rPr>
          <w:rFonts w:ascii="Palatino Linotype" w:hAnsi="Palatino Linotype" w:cs="Arial"/>
        </w:rPr>
      </w:pPr>
    </w:p>
    <w:p w:rsidR="00CC0EC5" w:rsidRPr="004F7289" w:rsidRDefault="00CC0EC5" w:rsidP="004F728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Del expediente,</w:t>
      </w:r>
      <w:r w:rsidR="00CD617D">
        <w:rPr>
          <w:rFonts w:ascii="Palatino Linotype" w:hAnsi="Palatino Linotype" w:cs="Arial"/>
        </w:rPr>
        <w:t xml:space="preserve"> objeto de mi presente voto particular</w:t>
      </w:r>
      <w:r>
        <w:rPr>
          <w:rFonts w:ascii="Palatino Linotype" w:hAnsi="Palatino Linotype" w:cs="Arial"/>
        </w:rPr>
        <w:t>, advierto que del estudio minucioso de la resolución dictad</w:t>
      </w:r>
      <w:r w:rsidR="00903879">
        <w:rPr>
          <w:rFonts w:ascii="Palatino Linotype" w:hAnsi="Palatino Linotype" w:cs="Arial"/>
        </w:rPr>
        <w:t xml:space="preserve">a por la ponencia </w:t>
      </w:r>
      <w:proofErr w:type="spellStart"/>
      <w:r w:rsidR="00903879">
        <w:rPr>
          <w:rFonts w:ascii="Palatino Linotype" w:hAnsi="Palatino Linotype" w:cs="Arial"/>
        </w:rPr>
        <w:t>resolutor</w:t>
      </w:r>
      <w:r w:rsidR="004F7289">
        <w:rPr>
          <w:rFonts w:ascii="Palatino Linotype" w:hAnsi="Palatino Linotype" w:cs="Arial"/>
        </w:rPr>
        <w:t>a</w:t>
      </w:r>
      <w:proofErr w:type="spellEnd"/>
      <w:r w:rsidR="00903879">
        <w:rPr>
          <w:rFonts w:ascii="Palatino Linotype" w:hAnsi="Palatino Linotype" w:cs="Arial"/>
        </w:rPr>
        <w:t>,</w:t>
      </w:r>
      <w:r w:rsidR="004F7289">
        <w:rPr>
          <w:rFonts w:ascii="Palatino Linotype" w:hAnsi="Palatino Linotype" w:cs="Arial"/>
        </w:rPr>
        <w:t xml:space="preserve"> </w:t>
      </w:r>
      <w:r w:rsidR="00903879">
        <w:rPr>
          <w:rFonts w:ascii="Palatino Linotype" w:hAnsi="Palatino Linotype" w:cs="Arial"/>
        </w:rPr>
        <w:t>ésta</w:t>
      </w:r>
      <w:r w:rsidR="004F7289">
        <w:rPr>
          <w:rFonts w:ascii="Palatino Linotype" w:hAnsi="Palatino Linotype" w:cs="Arial"/>
        </w:rPr>
        <w:t xml:space="preserve"> no </w:t>
      </w:r>
      <w:r w:rsidR="00071C0E">
        <w:rPr>
          <w:rFonts w:ascii="Palatino Linotype" w:hAnsi="Palatino Linotype" w:cs="Arial"/>
        </w:rPr>
        <w:t xml:space="preserve">tuvo a </w:t>
      </w:r>
      <w:r w:rsidR="004F7289">
        <w:rPr>
          <w:rFonts w:ascii="Palatino Linotype" w:hAnsi="Palatino Linotype" w:cs="Arial"/>
        </w:rPr>
        <w:t xml:space="preserve">bien </w:t>
      </w:r>
      <w:r w:rsidR="00071C0E">
        <w:rPr>
          <w:rFonts w:ascii="Palatino Linotype" w:hAnsi="Palatino Linotype" w:cs="Arial"/>
        </w:rPr>
        <w:t>analizar</w:t>
      </w:r>
      <w:r w:rsidR="00073934">
        <w:rPr>
          <w:rFonts w:ascii="Palatino Linotype" w:hAnsi="Palatino Linotype" w:cs="Arial"/>
        </w:rPr>
        <w:t xml:space="preserve"> puntualmente </w:t>
      </w:r>
      <w:r w:rsidR="00CD617D" w:rsidRPr="004F7289">
        <w:rPr>
          <w:rFonts w:ascii="Palatino Linotype" w:hAnsi="Palatino Linotype" w:cs="Arial"/>
        </w:rPr>
        <w:t>las circunstancias por las cuales es posible la reserva de la información</w:t>
      </w:r>
      <w:r w:rsidRPr="004F7289">
        <w:rPr>
          <w:rFonts w:ascii="Palatino Linotype" w:hAnsi="Palatino Linotype" w:cs="Arial"/>
        </w:rPr>
        <w:t>, solamente se constriñe a señalar que la información pública en posesión de los sujetos obligados, debe de ser entregada a los particulares para su conocimiento, a menos que se actualicen las limitantes para restringir su acceso, sin embargo, su estudio no</w:t>
      </w:r>
      <w:r w:rsidR="00CD617D" w:rsidRPr="004F7289">
        <w:rPr>
          <w:rFonts w:ascii="Palatino Linotype" w:hAnsi="Palatino Linotype" w:cs="Arial"/>
        </w:rPr>
        <w:t xml:space="preserve"> abordo ampliamente </w:t>
      </w:r>
      <w:r w:rsidRPr="004F7289">
        <w:rPr>
          <w:rFonts w:ascii="Palatino Linotype" w:hAnsi="Palatino Linotype" w:cs="Arial"/>
        </w:rPr>
        <w:t>la figura de la reserva, ni los re</w:t>
      </w:r>
      <w:r w:rsidR="004F7289">
        <w:rPr>
          <w:rFonts w:ascii="Palatino Linotype" w:hAnsi="Palatino Linotype" w:cs="Arial"/>
        </w:rPr>
        <w:t>quisitos para su configuración.</w:t>
      </w:r>
    </w:p>
    <w:p w:rsidR="00CC0EC5" w:rsidRPr="006C0255" w:rsidRDefault="00CC0EC5" w:rsidP="00EF2C52">
      <w:pPr>
        <w:pStyle w:val="Prrafodelista"/>
        <w:rPr>
          <w:rFonts w:ascii="Palatino Linotype" w:hAnsi="Palatino Linotype" w:cs="Arial"/>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0B4397">
        <w:rPr>
          <w:rFonts w:ascii="Palatino Linotype" w:hAnsi="Palatino Linotype" w:cs="Arial"/>
        </w:rPr>
        <w:t xml:space="preserve">Es imprescriptible señalar que en el presente año, </w:t>
      </w:r>
      <w:r w:rsidRPr="00CC0EC5">
        <w:rPr>
          <w:rFonts w:ascii="Palatino Linotype" w:hAnsi="Palatino Linotype" w:cs="Arial"/>
        </w:rPr>
        <w:t xml:space="preserve">este </w:t>
      </w:r>
      <w:r>
        <w:rPr>
          <w:rFonts w:ascii="Palatino Linotype" w:hAnsi="Palatino Linotype" w:cs="Arial"/>
        </w:rPr>
        <w:t xml:space="preserve">Órgano </w:t>
      </w:r>
      <w:proofErr w:type="spellStart"/>
      <w:r>
        <w:rPr>
          <w:rFonts w:ascii="Palatino Linotype" w:hAnsi="Palatino Linotype" w:cs="Arial"/>
        </w:rPr>
        <w:t>Resolutor</w:t>
      </w:r>
      <w:proofErr w:type="spellEnd"/>
      <w:r>
        <w:rPr>
          <w:rFonts w:ascii="Palatino Linotype" w:hAnsi="Palatino Linotype" w:cs="Arial"/>
        </w:rPr>
        <w:t xml:space="preserve"> </w:t>
      </w:r>
      <w:r w:rsidRPr="00CC0EC5">
        <w:rPr>
          <w:rFonts w:ascii="Palatino Linotype" w:hAnsi="Palatino Linotype" w:cs="Arial"/>
        </w:rPr>
        <w:t>ha sido sometido a un estricto control por parte del Instituto Nacional de Transparencia, Acceso a la Información y Protección de Datos Personales (INAI), como resultado de</w:t>
      </w:r>
      <w:r w:rsidR="0044164A">
        <w:rPr>
          <w:rFonts w:ascii="Palatino Linotype" w:hAnsi="Palatino Linotype" w:cs="Arial"/>
        </w:rPr>
        <w:t xml:space="preserve"> </w:t>
      </w:r>
      <w:r w:rsidRPr="00CC0EC5">
        <w:rPr>
          <w:rFonts w:ascii="Palatino Linotype" w:hAnsi="Palatino Linotype" w:cs="Arial"/>
        </w:rPr>
        <w:t>l</w:t>
      </w:r>
      <w:r w:rsidR="0044164A">
        <w:rPr>
          <w:rFonts w:ascii="Palatino Linotype" w:hAnsi="Palatino Linotype" w:cs="Arial"/>
        </w:rPr>
        <w:t>os</w:t>
      </w:r>
      <w:r w:rsidRPr="00CC0EC5">
        <w:rPr>
          <w:rFonts w:ascii="Palatino Linotype" w:hAnsi="Palatino Linotype" w:cs="Arial"/>
        </w:rPr>
        <w:t xml:space="preserve"> Recurso</w:t>
      </w:r>
      <w:r w:rsidR="0044164A">
        <w:rPr>
          <w:rFonts w:ascii="Palatino Linotype" w:hAnsi="Palatino Linotype" w:cs="Arial"/>
        </w:rPr>
        <w:t>s</w:t>
      </w:r>
      <w:r w:rsidRPr="00CC0EC5">
        <w:rPr>
          <w:rFonts w:ascii="Palatino Linotype" w:hAnsi="Palatino Linotype" w:cs="Arial"/>
        </w:rPr>
        <w:t xml:space="preserve"> de Inconformidad</w:t>
      </w:r>
      <w:r w:rsidR="0044164A">
        <w:rPr>
          <w:rFonts w:ascii="Palatino Linotype" w:hAnsi="Palatino Linotype" w:cs="Arial"/>
        </w:rPr>
        <w:t xml:space="preserve"> </w:t>
      </w:r>
      <w:r w:rsidR="0044164A" w:rsidRPr="00CC0EC5">
        <w:rPr>
          <w:rFonts w:ascii="Palatino Linotype" w:hAnsi="Palatino Linotype" w:cs="Arial"/>
          <w:lang w:eastAsia="es-MX"/>
        </w:rPr>
        <w:t>069/18 y RIA 082/18</w:t>
      </w:r>
      <w:r w:rsidR="0044164A">
        <w:rPr>
          <w:rFonts w:ascii="Palatino Linotype" w:hAnsi="Palatino Linotype" w:cs="Arial"/>
        </w:rPr>
        <w:t xml:space="preserve">, en los que el Órgano Garante Nacional, </w:t>
      </w:r>
      <w:r w:rsidR="00073934">
        <w:rPr>
          <w:rFonts w:ascii="Palatino Linotype" w:hAnsi="Palatino Linotype" w:cs="Arial"/>
        </w:rPr>
        <w:t xml:space="preserve">señaló </w:t>
      </w:r>
      <w:r w:rsidR="0044164A">
        <w:rPr>
          <w:rFonts w:ascii="Palatino Linotype" w:hAnsi="Palatino Linotype" w:cs="Arial"/>
        </w:rPr>
        <w:t xml:space="preserve">a este Órgano Garante local, que para invocar la causal de reserva, se deben de agotar todos y cada uno de los requisitos. </w:t>
      </w:r>
    </w:p>
    <w:p w:rsidR="00CC0EC5" w:rsidRPr="000B4397" w:rsidRDefault="00CC0EC5" w:rsidP="00EF2C52">
      <w:pPr>
        <w:pStyle w:val="Prrafodelista"/>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w:t>
      </w:r>
      <w:r>
        <w:rPr>
          <w:rFonts w:ascii="Palatino Linotype" w:hAnsi="Palatino Linotype" w:cs="Arial"/>
        </w:rPr>
        <w:lastRenderedPageBreak/>
        <w:t xml:space="preserve">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Default="00CC0EC5" w:rsidP="00EF2C52">
      <w:pPr>
        <w:pStyle w:val="Prrafodelista"/>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w:t>
      </w:r>
      <w:r w:rsidR="005529AF">
        <w:rPr>
          <w:rFonts w:ascii="Palatino Linotype" w:hAnsi="Palatino Linotype" w:cs="Arial"/>
        </w:rPr>
        <w:t>cho de Acceso a la Información</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rsidR="00CC0EC5" w:rsidRPr="001A2DAB" w:rsidRDefault="00CC0EC5" w:rsidP="00EF2C52">
      <w:pPr>
        <w:pStyle w:val="Prrafodelista"/>
        <w:rPr>
          <w:rFonts w:ascii="Palatino Linotype" w:hAnsi="Palatino Linotype" w:cs="Arial"/>
        </w:rPr>
      </w:pPr>
    </w:p>
    <w:p w:rsidR="00CC0EC5" w:rsidRPr="001A2DA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7F0A7B" w:rsidRDefault="00CC0EC5" w:rsidP="00EF2C52">
      <w:pPr>
        <w:pStyle w:val="Prrafodelista"/>
        <w:spacing w:before="240" w:after="240"/>
        <w:ind w:left="0" w:right="49"/>
        <w:jc w:val="both"/>
        <w:rPr>
          <w:rFonts w:ascii="Palatino Linotype" w:hAnsi="Palatino Linotype" w:cs="Arial"/>
        </w:rPr>
      </w:pPr>
    </w:p>
    <w:p w:rsidR="00CC0EC5" w:rsidRPr="0094352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este sentido el Dr. Miguel Carbonell ha señalado que:</w:t>
      </w:r>
      <w:r>
        <w:rPr>
          <w:rFonts w:ascii="Palatino Linotype" w:hAnsi="Palatino Linotype" w:cs="Arial"/>
        </w:rPr>
        <w:t xml:space="preserve"> </w:t>
      </w:r>
      <w:r w:rsidRPr="0094352B">
        <w:rPr>
          <w:rFonts w:ascii="Palatino Linotype" w:hAnsi="Palatino Linotype" w:cs="Arial"/>
        </w:rPr>
        <w:t xml:space="preserve">“Queda claro, en consecuencia, que las obligaciones de promoción, respeto, protección y garantía de los derechos corren a cargo de todos los poderes, incluso </w:t>
      </w:r>
      <w:r w:rsidRPr="0094352B">
        <w:rPr>
          <w:rFonts w:ascii="Palatino Linotype" w:hAnsi="Palatino Linotype" w:cs="Arial"/>
          <w:b/>
        </w:rPr>
        <w:t>considerando que algún nivel de gobierno tenga obligaciones reforzadas hacia ciertos derechos.</w:t>
      </w:r>
      <w:r w:rsidRPr="0094352B">
        <w:rPr>
          <w:rFonts w:ascii="Palatino Linotype" w:hAnsi="Palatino Linotype" w:cs="Arial"/>
        </w:rPr>
        <w:t xml:space="preserve"> A partir </w:t>
      </w:r>
      <w:r w:rsidRPr="0094352B">
        <w:rPr>
          <w:rFonts w:ascii="Palatino Linotype" w:hAnsi="Palatino Linotype" w:cs="Arial"/>
        </w:rPr>
        <w:lastRenderedPageBreak/>
        <w:t xml:space="preserve">de tales deberes generales, podemos afirmar que las autoridades de todos los niveles de gobierno también tienen la obligación positiva de </w:t>
      </w:r>
      <w:r w:rsidRPr="0094352B">
        <w:rPr>
          <w:rFonts w:ascii="Palatino Linotype" w:hAnsi="Palatino Linotype" w:cs="Arial"/>
          <w:b/>
        </w:rPr>
        <w:t>tomar todas las medidas que sean pertinentes para tutelar y hacer eficaz un derecho</w:t>
      </w:r>
      <w:r w:rsidRPr="0094352B">
        <w:rPr>
          <w:rFonts w:ascii="Palatino Linotype" w:hAnsi="Palatino Linotype" w:cs="Arial"/>
        </w:rPr>
        <w:t>”.</w:t>
      </w:r>
      <w:r w:rsidRPr="00924DF4">
        <w:rPr>
          <w:rStyle w:val="Refdenotaalpie"/>
          <w:rFonts w:ascii="Palatino Linotype" w:hAnsi="Palatino Linotype" w:cs="Arial"/>
        </w:rPr>
        <w:footnoteReference w:id="1"/>
      </w:r>
    </w:p>
    <w:p w:rsidR="00CC0EC5" w:rsidRDefault="00CC0EC5" w:rsidP="00EF2C52">
      <w:pPr>
        <w:pStyle w:val="Prrafodelista"/>
        <w:ind w:left="0"/>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Default="00CC0EC5" w:rsidP="00EF2C52">
      <w:pPr>
        <w:pStyle w:val="Prrafodelista"/>
        <w:ind w:left="360"/>
        <w:jc w:val="both"/>
        <w:rPr>
          <w:rFonts w:ascii="Palatino Linotype" w:hAnsi="Palatino Linotype" w:cs="Arial"/>
        </w:rPr>
      </w:pPr>
    </w:p>
    <w:p w:rsidR="00CC0EC5" w:rsidRPr="0094352B" w:rsidRDefault="00CC0EC5" w:rsidP="00F511B5">
      <w:pPr>
        <w:pStyle w:val="Prrafodelista"/>
        <w:spacing w:line="360" w:lineRule="auto"/>
        <w:ind w:left="851" w:right="616"/>
        <w:jc w:val="both"/>
        <w:rPr>
          <w:rFonts w:ascii="Palatino Linotype" w:hAnsi="Palatino Linotype" w:cs="Arial"/>
        </w:rPr>
      </w:pPr>
      <w:r>
        <w:rPr>
          <w:rFonts w:ascii="Palatino Linotype" w:hAnsi="Palatino Linotype" w:cs="Arial"/>
        </w:rPr>
        <w:t>“</w:t>
      </w:r>
      <w:r w:rsidRPr="0094352B">
        <w:rPr>
          <w:rFonts w:ascii="Palatino Linotype" w:hAnsi="Palatino Linotype" w:cs="Arial"/>
        </w:rPr>
        <w:t>Artículo 185. El instituto resolverá el recurso de revisión conforme a lo siguiente:</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V. La o el Comisionado ponente podrá determinar la celebración de audiencias con las partes durante la sustanciación del proceso. </w:t>
      </w:r>
    </w:p>
    <w:p w:rsidR="00CC0EC5" w:rsidRDefault="00CC0EC5" w:rsidP="00EF2C52">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r>
        <w:rPr>
          <w:rFonts w:ascii="Palatino Linotype" w:hAnsi="Palatino Linotype" w:cs="Arial"/>
        </w:rPr>
        <w:t>“</w:t>
      </w:r>
    </w:p>
    <w:p w:rsidR="005529AF" w:rsidRPr="00EF2C52" w:rsidRDefault="005529AF" w:rsidP="00EF2C52">
      <w:pPr>
        <w:pStyle w:val="Prrafodelista"/>
        <w:spacing w:line="360" w:lineRule="auto"/>
        <w:ind w:left="851" w:right="616"/>
        <w:jc w:val="both"/>
        <w:rPr>
          <w:rFonts w:ascii="Palatino Linotype" w:hAnsi="Palatino Linotype" w:cs="Arial"/>
        </w:rPr>
      </w:pPr>
    </w:p>
    <w:p w:rsidR="005529AF" w:rsidRPr="00A97A66" w:rsidRDefault="005529AF" w:rsidP="005529A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En relación con lo anterior, considero que la ponencia </w:t>
      </w:r>
      <w:proofErr w:type="spellStart"/>
      <w:r>
        <w:rPr>
          <w:rFonts w:ascii="Palatino Linotype" w:hAnsi="Palatino Linotype" w:cs="Arial"/>
        </w:rPr>
        <w:t>resolutora</w:t>
      </w:r>
      <w:proofErr w:type="spellEnd"/>
      <w:r>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w:t>
      </w:r>
      <w:r>
        <w:rPr>
          <w:rFonts w:ascii="Palatino Linotype" w:hAnsi="Palatino Linotype" w:cs="Arial"/>
        </w:rPr>
        <w:lastRenderedPageBreak/>
        <w:t xml:space="preserve">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w:t>
      </w:r>
      <w:r w:rsidRPr="00A97A66">
        <w:rPr>
          <w:rFonts w:ascii="Palatino Linotype" w:hAnsi="Palatino Linotype" w:cs="Arial"/>
        </w:rPr>
        <w:t xml:space="preserve">con el propósito de dar mayor certeza a la resolución dictada o por el contrario conocer fehacientemente si la información en posesión del sujeto obligado es susceptible de reservarse. </w:t>
      </w:r>
    </w:p>
    <w:p w:rsidR="005529AF" w:rsidRDefault="005529AF" w:rsidP="005529A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CC0EC5" w:rsidRDefault="00CC0EC5" w:rsidP="005529A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Una vez expuest</w:t>
      </w:r>
      <w:r w:rsidR="00374684">
        <w:rPr>
          <w:rFonts w:ascii="Palatino Linotype" w:hAnsi="Palatino Linotype" w:cs="Arial"/>
        </w:rPr>
        <w:t xml:space="preserve">o lo anterior, concluyo mi voto particular </w:t>
      </w:r>
      <w:r>
        <w:rPr>
          <w:rFonts w:ascii="Palatino Linotype" w:hAnsi="Palatino Linotype" w:cs="Arial"/>
        </w:rPr>
        <w:t>en la resol</w:t>
      </w:r>
      <w:r w:rsidR="00EF2C52">
        <w:rPr>
          <w:rFonts w:ascii="Palatino Linotype" w:hAnsi="Palatino Linotype" w:cs="Arial"/>
        </w:rPr>
        <w:t>ución materia del mismo.</w:t>
      </w:r>
    </w:p>
    <w:p w:rsidR="00AA0270" w:rsidRPr="00AA0270" w:rsidRDefault="00AA0270" w:rsidP="00AA0270">
      <w:pPr>
        <w:pStyle w:val="Prrafodelista"/>
        <w:rPr>
          <w:rFonts w:ascii="Palatino Linotype" w:hAnsi="Palatino Linotype" w:cs="Arial"/>
        </w:rPr>
      </w:pPr>
    </w:p>
    <w:p w:rsidR="00AA0270" w:rsidRDefault="00AA0270" w:rsidP="00AA02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AA0270" w:rsidRDefault="00AA0270" w:rsidP="00AA02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AA0270" w:rsidRDefault="00AA0270" w:rsidP="00AA02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AA0270" w:rsidRPr="00AA0270" w:rsidRDefault="00AA0270" w:rsidP="00AA02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CC0EC5" w:rsidRPr="00EF2C52" w:rsidRDefault="00CC0EC5" w:rsidP="00AA0270">
      <w:pPr>
        <w:pStyle w:val="Sinespaciado"/>
        <w:jc w:val="center"/>
        <w:rPr>
          <w:rFonts w:ascii="Palatino Linotype" w:hAnsi="Palatino Linotype"/>
          <w:b/>
        </w:rPr>
      </w:pPr>
      <w:r w:rsidRPr="00EF2C52">
        <w:rPr>
          <w:rFonts w:ascii="Palatino Linotype" w:hAnsi="Palatino Linotype"/>
          <w:b/>
        </w:rPr>
        <w:t>JOSÉ GUADALUPE LUNA HERNÁNDEZ</w:t>
      </w:r>
    </w:p>
    <w:p w:rsidR="00CC0EC5" w:rsidRDefault="00CC0EC5" w:rsidP="00AA0270">
      <w:pPr>
        <w:jc w:val="center"/>
        <w:rPr>
          <w:rFonts w:ascii="Palatino Linotype" w:hAnsi="Palatino Linotype"/>
          <w:b/>
          <w:sz w:val="22"/>
          <w:szCs w:val="22"/>
        </w:rPr>
      </w:pPr>
      <w:r w:rsidRPr="00EF2C52">
        <w:rPr>
          <w:rFonts w:ascii="Palatino Linotype" w:hAnsi="Palatino Linotype"/>
          <w:b/>
          <w:sz w:val="22"/>
          <w:szCs w:val="22"/>
        </w:rPr>
        <w:t>COMISIONADO</w:t>
      </w:r>
    </w:p>
    <w:p w:rsidR="00AA0270" w:rsidRDefault="00AA0270" w:rsidP="00AA0270">
      <w:pPr>
        <w:jc w:val="center"/>
        <w:rPr>
          <w:rFonts w:ascii="Palatino Linotype" w:hAnsi="Palatino Linotype"/>
          <w:b/>
          <w:sz w:val="22"/>
          <w:szCs w:val="22"/>
        </w:rPr>
      </w:pPr>
      <w:r>
        <w:rPr>
          <w:rFonts w:ascii="Palatino Linotype" w:hAnsi="Palatino Linotype"/>
          <w:b/>
          <w:sz w:val="22"/>
          <w:szCs w:val="22"/>
        </w:rPr>
        <w:t>(Rúbrica)</w:t>
      </w:r>
    </w:p>
    <w:p w:rsidR="00AA0270" w:rsidRDefault="00AA0270" w:rsidP="00AA0270">
      <w:pPr>
        <w:jc w:val="center"/>
        <w:rPr>
          <w:rFonts w:ascii="Palatino Linotype" w:hAnsi="Palatino Linotype"/>
          <w:b/>
          <w:sz w:val="22"/>
          <w:szCs w:val="22"/>
        </w:rPr>
      </w:pPr>
    </w:p>
    <w:p w:rsidR="00AA0270" w:rsidRDefault="00AA0270" w:rsidP="00AA0270">
      <w:pPr>
        <w:jc w:val="center"/>
        <w:rPr>
          <w:rFonts w:ascii="Palatino Linotype" w:hAnsi="Palatino Linotype"/>
          <w:b/>
          <w:sz w:val="22"/>
          <w:szCs w:val="22"/>
        </w:rPr>
      </w:pPr>
    </w:p>
    <w:p w:rsidR="00AA0270" w:rsidRPr="00EF2C52" w:rsidRDefault="00AA0270" w:rsidP="00AA0270">
      <w:pPr>
        <w:jc w:val="center"/>
        <w:rPr>
          <w:rFonts w:ascii="Palatino Linotype" w:hAnsi="Palatino Linotype"/>
          <w:b/>
          <w:sz w:val="22"/>
          <w:szCs w:val="22"/>
        </w:rPr>
      </w:pPr>
    </w:p>
    <w:p w:rsidR="00F511B5" w:rsidRPr="00AA0270" w:rsidRDefault="006F3E9E" w:rsidP="00AA0270">
      <w:pPr>
        <w:jc w:val="right"/>
        <w:rPr>
          <w:rFonts w:ascii="Palatino Linotype" w:hAnsi="Palatino Linotype"/>
          <w:b/>
          <w:sz w:val="22"/>
          <w:szCs w:val="22"/>
        </w:rPr>
      </w:pPr>
      <w:r>
        <w:rPr>
          <w:rFonts w:ascii="Palatino Linotype" w:hAnsi="Palatino Linotype"/>
          <w:b/>
          <w:sz w:val="22"/>
          <w:szCs w:val="22"/>
        </w:rPr>
        <w:t>JGLH/</w:t>
      </w:r>
      <w:r w:rsidR="005529AF">
        <w:rPr>
          <w:rFonts w:ascii="Palatino Linotype" w:hAnsi="Palatino Linotype"/>
          <w:b/>
          <w:sz w:val="22"/>
          <w:szCs w:val="22"/>
        </w:rPr>
        <w:t>MPBR</w:t>
      </w:r>
      <w:bookmarkStart w:id="7" w:name="_GoBack"/>
      <w:bookmarkEnd w:id="7"/>
    </w:p>
    <w:sectPr w:rsidR="00F511B5" w:rsidRPr="00AA0270" w:rsidSect="007631ED">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26" w:rsidRDefault="00450126" w:rsidP="00ED7332">
      <w:r>
        <w:separator/>
      </w:r>
    </w:p>
  </w:endnote>
  <w:endnote w:type="continuationSeparator" w:id="0">
    <w:p w:rsidR="00450126" w:rsidRDefault="00450126"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E6276">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E6276">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0845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26" w:rsidRDefault="00450126" w:rsidP="00ED7332">
      <w:r>
        <w:separator/>
      </w:r>
    </w:p>
  </w:footnote>
  <w:footnote w:type="continuationSeparator" w:id="0">
    <w:p w:rsidR="00450126" w:rsidRDefault="00450126"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8458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8458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8458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8A7"/>
    <w:multiLevelType w:val="hybridMultilevel"/>
    <w:tmpl w:val="0362F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E8D0321"/>
    <w:multiLevelType w:val="hybridMultilevel"/>
    <w:tmpl w:val="2B5A91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E641F14"/>
    <w:multiLevelType w:val="hybridMultilevel"/>
    <w:tmpl w:val="97B21468"/>
    <w:lvl w:ilvl="0" w:tplc="4DF87A0A">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017E86"/>
    <w:multiLevelType w:val="hybridMultilevel"/>
    <w:tmpl w:val="39B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3001"/>
    <w:rsid w:val="000350F9"/>
    <w:rsid w:val="00045EDE"/>
    <w:rsid w:val="00071C0E"/>
    <w:rsid w:val="00073934"/>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75C22"/>
    <w:rsid w:val="00187C5A"/>
    <w:rsid w:val="00196BFE"/>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764"/>
    <w:rsid w:val="002A3A54"/>
    <w:rsid w:val="002D1347"/>
    <w:rsid w:val="002E4EAD"/>
    <w:rsid w:val="002E6CE2"/>
    <w:rsid w:val="002F0112"/>
    <w:rsid w:val="003061F2"/>
    <w:rsid w:val="00313DBF"/>
    <w:rsid w:val="003331EE"/>
    <w:rsid w:val="00343467"/>
    <w:rsid w:val="003503B0"/>
    <w:rsid w:val="00364D1A"/>
    <w:rsid w:val="00364E7F"/>
    <w:rsid w:val="00366D22"/>
    <w:rsid w:val="003672A4"/>
    <w:rsid w:val="00374684"/>
    <w:rsid w:val="003765B0"/>
    <w:rsid w:val="00380318"/>
    <w:rsid w:val="0038405F"/>
    <w:rsid w:val="003A43CE"/>
    <w:rsid w:val="003A68B3"/>
    <w:rsid w:val="003C68B6"/>
    <w:rsid w:val="003D1215"/>
    <w:rsid w:val="003D513F"/>
    <w:rsid w:val="003F71B7"/>
    <w:rsid w:val="00421FE8"/>
    <w:rsid w:val="004252DB"/>
    <w:rsid w:val="00430106"/>
    <w:rsid w:val="00437134"/>
    <w:rsid w:val="0044164A"/>
    <w:rsid w:val="0044710A"/>
    <w:rsid w:val="00450126"/>
    <w:rsid w:val="00460BFA"/>
    <w:rsid w:val="00482790"/>
    <w:rsid w:val="004915D5"/>
    <w:rsid w:val="004A6948"/>
    <w:rsid w:val="004A75D5"/>
    <w:rsid w:val="004C4360"/>
    <w:rsid w:val="004D1629"/>
    <w:rsid w:val="004E2F1E"/>
    <w:rsid w:val="004E6276"/>
    <w:rsid w:val="004F719D"/>
    <w:rsid w:val="004F7289"/>
    <w:rsid w:val="0050137A"/>
    <w:rsid w:val="00503141"/>
    <w:rsid w:val="0052203D"/>
    <w:rsid w:val="005529AF"/>
    <w:rsid w:val="00557948"/>
    <w:rsid w:val="00577A92"/>
    <w:rsid w:val="00586E51"/>
    <w:rsid w:val="005A09A1"/>
    <w:rsid w:val="005A55B8"/>
    <w:rsid w:val="005E6E1A"/>
    <w:rsid w:val="00614828"/>
    <w:rsid w:val="00624AB6"/>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7E"/>
    <w:rsid w:val="007631ED"/>
    <w:rsid w:val="00763471"/>
    <w:rsid w:val="00774A7F"/>
    <w:rsid w:val="0077794D"/>
    <w:rsid w:val="007A4E77"/>
    <w:rsid w:val="007A69A1"/>
    <w:rsid w:val="007A6A25"/>
    <w:rsid w:val="007A76AC"/>
    <w:rsid w:val="007B194A"/>
    <w:rsid w:val="007B1C16"/>
    <w:rsid w:val="007B70C2"/>
    <w:rsid w:val="007C25E8"/>
    <w:rsid w:val="007E20E1"/>
    <w:rsid w:val="007F5BB2"/>
    <w:rsid w:val="0081168F"/>
    <w:rsid w:val="00811FF8"/>
    <w:rsid w:val="00835B3B"/>
    <w:rsid w:val="0083778A"/>
    <w:rsid w:val="008517AF"/>
    <w:rsid w:val="00861EA4"/>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03879"/>
    <w:rsid w:val="009332A7"/>
    <w:rsid w:val="009362EC"/>
    <w:rsid w:val="00940BE8"/>
    <w:rsid w:val="00941946"/>
    <w:rsid w:val="00952EB7"/>
    <w:rsid w:val="00962AB3"/>
    <w:rsid w:val="0097464F"/>
    <w:rsid w:val="0099042C"/>
    <w:rsid w:val="009B3892"/>
    <w:rsid w:val="009D5E66"/>
    <w:rsid w:val="009E3209"/>
    <w:rsid w:val="009E7D34"/>
    <w:rsid w:val="00A011F0"/>
    <w:rsid w:val="00A249AB"/>
    <w:rsid w:val="00A31B0C"/>
    <w:rsid w:val="00A3395D"/>
    <w:rsid w:val="00A36FB9"/>
    <w:rsid w:val="00A410B3"/>
    <w:rsid w:val="00A527F0"/>
    <w:rsid w:val="00A7538B"/>
    <w:rsid w:val="00A94904"/>
    <w:rsid w:val="00AA0270"/>
    <w:rsid w:val="00AA4703"/>
    <w:rsid w:val="00AE112C"/>
    <w:rsid w:val="00AE1FD6"/>
    <w:rsid w:val="00AF61AB"/>
    <w:rsid w:val="00B06084"/>
    <w:rsid w:val="00B079D3"/>
    <w:rsid w:val="00B12F33"/>
    <w:rsid w:val="00B1415F"/>
    <w:rsid w:val="00B14637"/>
    <w:rsid w:val="00B305DB"/>
    <w:rsid w:val="00B35501"/>
    <w:rsid w:val="00B64221"/>
    <w:rsid w:val="00B82DF9"/>
    <w:rsid w:val="00B847C6"/>
    <w:rsid w:val="00B951D9"/>
    <w:rsid w:val="00B97430"/>
    <w:rsid w:val="00BA7541"/>
    <w:rsid w:val="00BC23A5"/>
    <w:rsid w:val="00BD7E40"/>
    <w:rsid w:val="00BE1AF8"/>
    <w:rsid w:val="00C04ABD"/>
    <w:rsid w:val="00C35411"/>
    <w:rsid w:val="00C36B1F"/>
    <w:rsid w:val="00C37D34"/>
    <w:rsid w:val="00C50FC5"/>
    <w:rsid w:val="00C520EE"/>
    <w:rsid w:val="00C648C5"/>
    <w:rsid w:val="00C64CFF"/>
    <w:rsid w:val="00C7087D"/>
    <w:rsid w:val="00C74DDE"/>
    <w:rsid w:val="00C8234C"/>
    <w:rsid w:val="00C87E9E"/>
    <w:rsid w:val="00C96160"/>
    <w:rsid w:val="00CA5AFE"/>
    <w:rsid w:val="00CB13A7"/>
    <w:rsid w:val="00CB19F7"/>
    <w:rsid w:val="00CB3643"/>
    <w:rsid w:val="00CC0EC5"/>
    <w:rsid w:val="00CC3A72"/>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3F52"/>
    <w:rsid w:val="00EF2C52"/>
    <w:rsid w:val="00EF4D4D"/>
    <w:rsid w:val="00EF7BFC"/>
    <w:rsid w:val="00F15D14"/>
    <w:rsid w:val="00F3413E"/>
    <w:rsid w:val="00F436A4"/>
    <w:rsid w:val="00F511B5"/>
    <w:rsid w:val="00F51C6F"/>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374684"/>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374684"/>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84942574">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165515042">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020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0441-FB92-4530-9144-77CABCB8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2607</Words>
  <Characters>14342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2017-10-31T17:55:00Z</cp:lastPrinted>
  <dcterms:created xsi:type="dcterms:W3CDTF">2018-11-26T23:25:00Z</dcterms:created>
  <dcterms:modified xsi:type="dcterms:W3CDTF">2019-01-18T01:29:00Z</dcterms:modified>
</cp:coreProperties>
</file>